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8328"/>
        <w:gridCol w:w="3000"/>
      </w:tblGrid>
      <w:tr w:rsidR="00271BC0">
        <w:trPr>
          <w:cantSplit/>
          <w:trHeight w:hRule="exact" w:val="960"/>
        </w:trPr>
        <w:tc>
          <w:tcPr>
            <w:tcW w:w="11328" w:type="dxa"/>
            <w:gridSpan w:val="2"/>
            <w:tcBorders>
              <w:top w:val="nil"/>
              <w:bottom w:val="single" w:sz="4" w:space="0" w:color="auto"/>
            </w:tcBorders>
            <w:vAlign w:val="center"/>
          </w:tcPr>
          <w:p w:rsidR="00271BC0" w:rsidRDefault="00271BC0">
            <w:pPr>
              <w:pStyle w:val="Heading1"/>
            </w:pPr>
            <w:r>
              <w:t>duty statement</w:t>
            </w:r>
          </w:p>
        </w:tc>
      </w:tr>
      <w:tr w:rsidR="00271BC0">
        <w:trPr>
          <w:cantSplit/>
          <w:trHeight w:hRule="exact" w:val="480"/>
        </w:trPr>
        <w:tc>
          <w:tcPr>
            <w:tcW w:w="8328" w:type="dxa"/>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Class Title:</w:t>
            </w:r>
          </w:p>
          <w:p w:rsidR="00271BC0" w:rsidRDefault="00271BC0">
            <w:pPr>
              <w:pStyle w:val="Fill-in--Centered"/>
              <w:jc w:val="left"/>
              <w:rPr>
                <w:b w:val="0"/>
              </w:rPr>
            </w:pPr>
            <w:r>
              <w:rPr>
                <w:b w:val="0"/>
              </w:rPr>
              <w:fldChar w:fldCharType="begin">
                <w:ffData>
                  <w:name w:val="Text12"/>
                  <w:enabled/>
                  <w:calcOnExit w:val="0"/>
                  <w:textInput/>
                </w:ffData>
              </w:fldChar>
            </w:r>
            <w:bookmarkStart w:id="0" w:name="Text12"/>
            <w:r>
              <w:rPr>
                <w:b w:val="0"/>
              </w:rPr>
              <w:instrText xml:space="preserve"> FORMTEXT </w:instrText>
            </w:r>
            <w:r>
              <w:rPr>
                <w:b w:val="0"/>
              </w:rPr>
            </w:r>
            <w:r>
              <w:rPr>
                <w:b w:val="0"/>
              </w:rPr>
              <w:fldChar w:fldCharType="separate"/>
            </w:r>
            <w:r>
              <w:rPr>
                <w:b w:val="0"/>
              </w:rPr>
              <w:t xml:space="preserve">Legal Analyst </w:t>
            </w:r>
            <w:r>
              <w:rPr>
                <w:b w:val="0"/>
              </w:rPr>
              <w:fldChar w:fldCharType="end"/>
            </w:r>
            <w:bookmarkEnd w:id="0"/>
          </w:p>
        </w:tc>
        <w:tc>
          <w:tcPr>
            <w:tcW w:w="3000" w:type="dxa"/>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Position Number:</w:t>
            </w:r>
          </w:p>
          <w:p w:rsidR="00271BC0" w:rsidRPr="00732929" w:rsidRDefault="00732929" w:rsidP="00FE73CF">
            <w:pPr>
              <w:pStyle w:val="Fill-in--Centered"/>
              <w:jc w:val="left"/>
              <w:rPr>
                <w:b w:val="0"/>
                <w:sz w:val="20"/>
                <w:szCs w:val="20"/>
              </w:rPr>
            </w:pPr>
            <w:r w:rsidRPr="00732929">
              <w:rPr>
                <w:b w:val="0"/>
                <w:sz w:val="20"/>
                <w:szCs w:val="20"/>
              </w:rPr>
              <w:t>803-034-5237-</w:t>
            </w:r>
            <w:r w:rsidR="00FE73CF">
              <w:rPr>
                <w:b w:val="0"/>
                <w:sz w:val="20"/>
                <w:szCs w:val="20"/>
              </w:rPr>
              <w:t>001</w:t>
            </w:r>
            <w:bookmarkStart w:id="1" w:name="_GoBack"/>
            <w:bookmarkEnd w:id="1"/>
          </w:p>
        </w:tc>
      </w:tr>
      <w:tr w:rsidR="00271BC0">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Unit:</w:t>
            </w:r>
          </w:p>
          <w:p w:rsidR="00271BC0" w:rsidRDefault="00271BC0">
            <w:pPr>
              <w:pStyle w:val="Fill-in--Centered"/>
              <w:jc w:val="left"/>
              <w:rPr>
                <w:b w:val="0"/>
              </w:rPr>
            </w:pPr>
          </w:p>
        </w:tc>
      </w:tr>
      <w:tr w:rsidR="00271BC0">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Section:</w:t>
            </w:r>
          </w:p>
          <w:p w:rsidR="00271BC0" w:rsidRDefault="00271BC0">
            <w:pPr>
              <w:pStyle w:val="Fill-in--Centered"/>
              <w:jc w:val="left"/>
              <w:rPr>
                <w:sz w:val="16"/>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r>
      <w:tr w:rsidR="00271BC0">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Branch:</w:t>
            </w:r>
          </w:p>
          <w:p w:rsidR="00271BC0" w:rsidRDefault="00271BC0">
            <w:pPr>
              <w:pStyle w:val="Fill-in--Centered"/>
              <w:jc w:val="left"/>
              <w:rPr>
                <w:sz w:val="16"/>
              </w:rPr>
            </w:pPr>
          </w:p>
        </w:tc>
      </w:tr>
      <w:tr w:rsidR="00271BC0">
        <w:trPr>
          <w:cantSplit/>
          <w:trHeight w:hRule="exact" w:val="480"/>
        </w:trPr>
        <w:tc>
          <w:tcPr>
            <w:tcW w:w="11328" w:type="dxa"/>
            <w:gridSpan w:val="2"/>
            <w:tcBorders>
              <w:top w:val="single" w:sz="4" w:space="0" w:color="auto"/>
              <w:left w:val="single" w:sz="4" w:space="0" w:color="auto"/>
              <w:bottom w:val="single" w:sz="4" w:space="0" w:color="auto"/>
              <w:right w:val="single" w:sz="4" w:space="0" w:color="auto"/>
            </w:tcBorders>
            <w:vAlign w:val="center"/>
          </w:tcPr>
          <w:p w:rsidR="00271BC0" w:rsidRDefault="00271BC0">
            <w:pPr>
              <w:pStyle w:val="Fill-in--Centered"/>
              <w:jc w:val="left"/>
              <w:rPr>
                <w:sz w:val="16"/>
              </w:rPr>
            </w:pPr>
            <w:r>
              <w:rPr>
                <w:sz w:val="16"/>
              </w:rPr>
              <w:t>Division:</w:t>
            </w:r>
          </w:p>
          <w:p w:rsidR="00271BC0" w:rsidRDefault="00732929" w:rsidP="005324C9">
            <w:pPr>
              <w:pStyle w:val="Fill-in--Centered"/>
              <w:jc w:val="left"/>
              <w:rPr>
                <w:b w:val="0"/>
                <w:sz w:val="16"/>
              </w:rPr>
            </w:pPr>
            <w:r>
              <w:rPr>
                <w:b w:val="0"/>
              </w:rPr>
              <w:fldChar w:fldCharType="begin">
                <w:ffData>
                  <w:name w:val="Text13"/>
                  <w:enabled/>
                  <w:calcOnExit w:val="0"/>
                  <w:textInput/>
                </w:ffData>
              </w:fldChar>
            </w:r>
            <w:r>
              <w:rPr>
                <w:b w:val="0"/>
              </w:rPr>
              <w:instrText xml:space="preserve"> FORMTEXT </w:instrText>
            </w:r>
            <w:r>
              <w:rPr>
                <w:b w:val="0"/>
              </w:rPr>
            </w:r>
            <w:r>
              <w:rPr>
                <w:b w:val="0"/>
              </w:rPr>
              <w:fldChar w:fldCharType="separate"/>
            </w:r>
            <w:r>
              <w:rPr>
                <w:b w:val="0"/>
              </w:rPr>
              <w:t>Office of Administrative Hearings and Appeals</w:t>
            </w:r>
            <w:r>
              <w:rPr>
                <w:b w:val="0"/>
              </w:rPr>
              <w:t> </w:t>
            </w:r>
            <w:r>
              <w:rPr>
                <w:b w:val="0"/>
              </w:rPr>
              <w:t> </w:t>
            </w:r>
            <w:r>
              <w:rPr>
                <w:b w:val="0"/>
              </w:rPr>
              <w:t> </w:t>
            </w:r>
            <w:r>
              <w:rPr>
                <w:b w:val="0"/>
              </w:rPr>
              <w:t> </w:t>
            </w:r>
            <w:r>
              <w:rPr>
                <w:b w:val="0"/>
              </w:rPr>
              <w:t> </w:t>
            </w:r>
            <w:r>
              <w:rPr>
                <w:b w:val="0"/>
              </w:rPr>
              <w:fldChar w:fldCharType="end"/>
            </w:r>
          </w:p>
        </w:tc>
      </w:tr>
      <w:tr w:rsidR="00271BC0">
        <w:trPr>
          <w:cantSplit/>
          <w:trHeight w:hRule="exact" w:val="1680"/>
        </w:trPr>
        <w:tc>
          <w:tcPr>
            <w:tcW w:w="11328" w:type="dxa"/>
            <w:gridSpan w:val="2"/>
            <w:tcBorders>
              <w:top w:val="single" w:sz="4" w:space="0" w:color="auto"/>
              <w:bottom w:val="nil"/>
            </w:tcBorders>
            <w:vAlign w:val="center"/>
          </w:tcPr>
          <w:p w:rsidR="00271BC0" w:rsidRDefault="00271BC0">
            <w:pPr>
              <w:pStyle w:val="Fill-in"/>
            </w:pPr>
            <w:r>
              <w:t>This position requires the incumbent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tc>
      </w:tr>
      <w:tr w:rsidR="00271BC0">
        <w:trPr>
          <w:cantSplit/>
          <w:trHeight w:val="480"/>
        </w:trPr>
        <w:tc>
          <w:tcPr>
            <w:tcW w:w="11328" w:type="dxa"/>
            <w:gridSpan w:val="2"/>
            <w:tcBorders>
              <w:top w:val="nil"/>
              <w:bottom w:val="nil"/>
            </w:tcBorders>
          </w:tcPr>
          <w:p w:rsidR="00D34520" w:rsidRDefault="00271BC0" w:rsidP="00D34520">
            <w:pPr>
              <w:pStyle w:val="Fill-in"/>
            </w:pPr>
            <w:r>
              <w:rPr>
                <w:b/>
              </w:rPr>
              <w:t>Job Summary:</w:t>
            </w:r>
            <w:r>
              <w:t xml:space="preserve">  </w:t>
            </w:r>
            <w:r w:rsidR="00D34520">
              <w:t>Under the general supervision of the Chief Administrative Law Judge, the Legal Analyst provides paralegal support to the Deputy Director and Chief Administrative Law Judge, Chief of Administrative Appeals, Administrative Law Judges, and Hearing Officers from inception to completion of appeals.  The Legal Analyst also is responsible for preparing and disseminating the administrative record and responding to Public Record Act requests.</w:t>
            </w:r>
          </w:p>
          <w:p w:rsidR="00271BC0" w:rsidRDefault="00271BC0">
            <w:pPr>
              <w:pStyle w:val="Fill-in"/>
            </w:pPr>
          </w:p>
        </w:tc>
      </w:tr>
      <w:tr w:rsidR="00271BC0">
        <w:trPr>
          <w:cantSplit/>
          <w:trHeight w:val="480"/>
        </w:trPr>
        <w:tc>
          <w:tcPr>
            <w:tcW w:w="11328" w:type="dxa"/>
            <w:gridSpan w:val="2"/>
            <w:tcBorders>
              <w:top w:val="nil"/>
              <w:bottom w:val="nil"/>
            </w:tcBorders>
          </w:tcPr>
          <w:p w:rsidR="00271BC0" w:rsidRDefault="00271BC0" w:rsidP="00732929">
            <w:pPr>
              <w:pStyle w:val="Fill-in"/>
            </w:pPr>
            <w:r>
              <w:rPr>
                <w:b/>
              </w:rPr>
              <w:t>Supervision Received:</w:t>
            </w:r>
            <w:r>
              <w:t xml:space="preserve">  </w:t>
            </w:r>
            <w:r w:rsidR="00732929">
              <w:t>General supervision by the Chief Administrative Law Judge.</w:t>
            </w:r>
          </w:p>
        </w:tc>
      </w:tr>
      <w:tr w:rsidR="00271BC0">
        <w:trPr>
          <w:cantSplit/>
          <w:trHeight w:val="480"/>
        </w:trPr>
        <w:tc>
          <w:tcPr>
            <w:tcW w:w="11328" w:type="dxa"/>
            <w:gridSpan w:val="2"/>
            <w:tcBorders>
              <w:top w:val="nil"/>
              <w:bottom w:val="nil"/>
            </w:tcBorders>
          </w:tcPr>
          <w:p w:rsidR="00271BC0" w:rsidRDefault="00271BC0">
            <w:pPr>
              <w:pStyle w:val="Fill-in"/>
            </w:pPr>
            <w:r>
              <w:rPr>
                <w:b/>
              </w:rPr>
              <w:t>Supervision Exercised:</w:t>
            </w:r>
            <w:r>
              <w:t xml:space="preserve">  </w:t>
            </w:r>
            <w:r>
              <w:fldChar w:fldCharType="begin">
                <w:ffData>
                  <w:name w:val="Text7"/>
                  <w:enabled/>
                  <w:calcOnExit w:val="0"/>
                  <w:textInput/>
                </w:ffData>
              </w:fldChar>
            </w:r>
            <w:bookmarkStart w:id="2" w:name="Text7"/>
            <w:r>
              <w:instrText xml:space="preserve"> FORMTEXT </w:instrText>
            </w:r>
            <w:r>
              <w:fldChar w:fldCharType="separate"/>
            </w:r>
            <w:r>
              <w:rPr>
                <w:noProof/>
              </w:rPr>
              <w:t>None</w:t>
            </w:r>
            <w:r>
              <w:fldChar w:fldCharType="end"/>
            </w:r>
            <w:bookmarkEnd w:id="2"/>
          </w:p>
        </w:tc>
      </w:tr>
      <w:tr w:rsidR="00271BC0">
        <w:trPr>
          <w:cantSplit/>
          <w:trHeight w:val="480"/>
        </w:trPr>
        <w:tc>
          <w:tcPr>
            <w:tcW w:w="11328" w:type="dxa"/>
            <w:gridSpan w:val="2"/>
            <w:tcBorders>
              <w:top w:val="nil"/>
              <w:bottom w:val="nil"/>
            </w:tcBorders>
          </w:tcPr>
          <w:p w:rsidR="00271BC0" w:rsidRDefault="00271BC0">
            <w:pPr>
              <w:pStyle w:val="Fill-in"/>
            </w:pPr>
            <w:r>
              <w:rPr>
                <w:b/>
              </w:rPr>
              <w:t>Description of Duties:</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See below.</w:t>
            </w:r>
            <w:r>
              <w:fldChar w:fldCharType="end"/>
            </w:r>
            <w:bookmarkEnd w:id="3"/>
          </w:p>
        </w:tc>
      </w:tr>
    </w:tbl>
    <w:p w:rsidR="00271BC0" w:rsidRDefault="00271BC0">
      <w:pPr>
        <w:pStyle w:val="Heading2"/>
        <w:keepNext w:val="0"/>
        <w:sectPr w:rsidR="00271BC0">
          <w:headerReference w:type="default" r:id="rId7"/>
          <w:footerReference w:type="default" r:id="rId8"/>
          <w:headerReference w:type="first" r:id="rId9"/>
          <w:footerReference w:type="first" r:id="rId10"/>
          <w:pgSz w:w="12240" w:h="15840" w:code="1"/>
          <w:pgMar w:top="720" w:right="480" w:bottom="480" w:left="480" w:header="480" w:footer="384" w:gutter="0"/>
          <w:cols w:space="720"/>
          <w:titlePg/>
          <w:docGrid w:linePitch="360"/>
        </w:sectPr>
      </w:pPr>
    </w:p>
    <w:p w:rsidR="00271BC0" w:rsidRDefault="00271BC0">
      <w:pPr>
        <w:pStyle w:val="Heading2"/>
        <w:keepNext w:val="0"/>
        <w:jc w:val="left"/>
        <w:sectPr w:rsidR="00271BC0">
          <w:type w:val="continuous"/>
          <w:pgSz w:w="12240" w:h="15840" w:code="1"/>
          <w:pgMar w:top="720" w:right="480" w:bottom="480" w:left="480" w:header="480" w:footer="384" w:gutter="0"/>
          <w:cols w:space="720"/>
          <w:titlePg/>
          <w:docGrid w:linePitch="360"/>
        </w:sectPr>
      </w:pPr>
    </w:p>
    <w:p w:rsidR="00271BC0" w:rsidRDefault="00271BC0">
      <w:pPr>
        <w:pStyle w:val="Heading2"/>
        <w:keepNext w:val="0"/>
        <w:jc w:val="left"/>
        <w:rPr>
          <w:b w:val="0"/>
        </w:rPr>
        <w:sectPr w:rsidR="00271BC0">
          <w:type w:val="continuous"/>
          <w:pgSz w:w="12240" w:h="15840" w:code="1"/>
          <w:pgMar w:top="720" w:right="480" w:bottom="480" w:left="480" w:header="480" w:footer="384" w:gutter="0"/>
          <w:cols w:space="720"/>
          <w:titlePg/>
          <w:docGrid w:linePitch="360"/>
        </w:sectPr>
      </w:pPr>
      <w:r>
        <w:t>Percent of Time</w:t>
      </w:r>
      <w:r>
        <w:tab/>
        <w:t>Essential Functions</w:t>
      </w:r>
      <w:r>
        <w:rPr>
          <w:b w:val="0"/>
        </w:rPr>
        <w:t xml:space="preserve"> </w:t>
      </w:r>
    </w:p>
    <w:p w:rsidR="00271BC0" w:rsidRDefault="00271BC0">
      <w:pPr>
        <w:pStyle w:val="sidebar"/>
        <w:ind w:hanging="1620"/>
      </w:pPr>
    </w:p>
    <w:p w:rsidR="00271BC0" w:rsidRDefault="00C33CC9">
      <w:pPr>
        <w:pStyle w:val="BodyTextIndent"/>
        <w:rPr>
          <w:sz w:val="22"/>
          <w:szCs w:val="22"/>
        </w:rPr>
      </w:pPr>
      <w:r>
        <w:rPr>
          <w:sz w:val="22"/>
          <w:szCs w:val="22"/>
        </w:rPr>
        <w:t>40</w:t>
      </w:r>
      <w:r w:rsidR="00271BC0">
        <w:rPr>
          <w:sz w:val="22"/>
          <w:szCs w:val="22"/>
        </w:rPr>
        <w:t>%</w:t>
      </w:r>
      <w:r w:rsidR="00271BC0">
        <w:rPr>
          <w:sz w:val="22"/>
          <w:szCs w:val="22"/>
        </w:rPr>
        <w:tab/>
        <w:t xml:space="preserve">Responds to </w:t>
      </w:r>
      <w:r w:rsidR="00D75F35">
        <w:rPr>
          <w:sz w:val="22"/>
          <w:szCs w:val="22"/>
        </w:rPr>
        <w:t xml:space="preserve">and fulfills </w:t>
      </w:r>
      <w:r w:rsidR="00A22581">
        <w:rPr>
          <w:sz w:val="22"/>
          <w:szCs w:val="22"/>
        </w:rPr>
        <w:t xml:space="preserve">requests of </w:t>
      </w:r>
      <w:r w:rsidR="005A4420">
        <w:rPr>
          <w:sz w:val="22"/>
          <w:szCs w:val="22"/>
        </w:rPr>
        <w:t xml:space="preserve">appeal </w:t>
      </w:r>
      <w:r w:rsidR="00A22581">
        <w:rPr>
          <w:sz w:val="22"/>
          <w:szCs w:val="22"/>
        </w:rPr>
        <w:t xml:space="preserve">litigants whose </w:t>
      </w:r>
      <w:r w:rsidR="00F45C70">
        <w:rPr>
          <w:sz w:val="22"/>
          <w:szCs w:val="22"/>
        </w:rPr>
        <w:t>cases have</w:t>
      </w:r>
      <w:r w:rsidR="00A22581">
        <w:rPr>
          <w:sz w:val="22"/>
          <w:szCs w:val="22"/>
        </w:rPr>
        <w:t xml:space="preserve"> been adjudicated by the Office of Administrative Hearings and Appeals for the production of the complete administrative record</w:t>
      </w:r>
      <w:r w:rsidR="00D75F35">
        <w:rPr>
          <w:sz w:val="22"/>
          <w:szCs w:val="22"/>
        </w:rPr>
        <w:t xml:space="preserve">, as defined by Government Code section </w:t>
      </w:r>
      <w:r w:rsidR="00A22581">
        <w:rPr>
          <w:sz w:val="22"/>
          <w:szCs w:val="22"/>
        </w:rPr>
        <w:t>11523.</w:t>
      </w:r>
      <w:r w:rsidR="00271BC0">
        <w:rPr>
          <w:sz w:val="22"/>
          <w:szCs w:val="22"/>
        </w:rPr>
        <w:t xml:space="preserve"> </w:t>
      </w:r>
      <w:r w:rsidR="00D75F35">
        <w:rPr>
          <w:sz w:val="22"/>
          <w:szCs w:val="22"/>
        </w:rPr>
        <w:t>As part of these activities, this position is required to review</w:t>
      </w:r>
      <w:r w:rsidR="00A22581">
        <w:rPr>
          <w:sz w:val="22"/>
          <w:szCs w:val="22"/>
        </w:rPr>
        <w:t>, identify, and organize</w:t>
      </w:r>
      <w:r w:rsidR="00D75F35">
        <w:rPr>
          <w:sz w:val="22"/>
          <w:szCs w:val="22"/>
        </w:rPr>
        <w:t xml:space="preserve"> </w:t>
      </w:r>
      <w:r w:rsidR="00A22581">
        <w:rPr>
          <w:sz w:val="22"/>
          <w:szCs w:val="22"/>
        </w:rPr>
        <w:t xml:space="preserve">all submitted and issued records, pleadings, </w:t>
      </w:r>
      <w:r w:rsidR="005A4420">
        <w:rPr>
          <w:sz w:val="22"/>
          <w:szCs w:val="22"/>
        </w:rPr>
        <w:t xml:space="preserve">orders, motions, </w:t>
      </w:r>
      <w:r w:rsidR="007D30D8">
        <w:rPr>
          <w:sz w:val="22"/>
          <w:szCs w:val="22"/>
        </w:rPr>
        <w:t>recordings</w:t>
      </w:r>
      <w:r w:rsidR="005A4420">
        <w:rPr>
          <w:sz w:val="22"/>
          <w:szCs w:val="22"/>
        </w:rPr>
        <w:t xml:space="preserve">, transcripts, </w:t>
      </w:r>
      <w:r w:rsidR="00A22581">
        <w:rPr>
          <w:sz w:val="22"/>
          <w:szCs w:val="22"/>
        </w:rPr>
        <w:t>notices, exhibits (whether admitted or rejected), correspondence, and decisions for a hearing as necessary to produce and deliver the complete administrative record requested by a litigant who has filed a p</w:t>
      </w:r>
      <w:r w:rsidR="005E7CEC">
        <w:rPr>
          <w:sz w:val="22"/>
          <w:szCs w:val="22"/>
        </w:rPr>
        <w:t>etiti</w:t>
      </w:r>
      <w:r w:rsidR="00A22581">
        <w:rPr>
          <w:sz w:val="22"/>
          <w:szCs w:val="22"/>
        </w:rPr>
        <w:t>on for a writ of mandate in accordance with the provision of</w:t>
      </w:r>
      <w:r w:rsidR="005E7CEC">
        <w:rPr>
          <w:sz w:val="22"/>
          <w:szCs w:val="22"/>
        </w:rPr>
        <w:t xml:space="preserve"> the Code of Civil Procedure.  The incumbent is responsible for </w:t>
      </w:r>
      <w:r w:rsidR="00E43D49">
        <w:rPr>
          <w:sz w:val="22"/>
          <w:szCs w:val="22"/>
        </w:rPr>
        <w:t>determining</w:t>
      </w:r>
      <w:r w:rsidR="005E7CEC">
        <w:rPr>
          <w:sz w:val="22"/>
          <w:szCs w:val="22"/>
        </w:rPr>
        <w:t xml:space="preserve"> </w:t>
      </w:r>
      <w:r w:rsidR="005A4420">
        <w:rPr>
          <w:sz w:val="22"/>
          <w:szCs w:val="22"/>
        </w:rPr>
        <w:t xml:space="preserve">time and </w:t>
      </w:r>
      <w:r w:rsidR="005E7CEC">
        <w:rPr>
          <w:sz w:val="22"/>
          <w:szCs w:val="22"/>
        </w:rPr>
        <w:t xml:space="preserve">cost </w:t>
      </w:r>
      <w:r w:rsidR="005A4420">
        <w:rPr>
          <w:sz w:val="22"/>
          <w:szCs w:val="22"/>
        </w:rPr>
        <w:t xml:space="preserve">involved with </w:t>
      </w:r>
      <w:r w:rsidR="005E7CEC">
        <w:rPr>
          <w:sz w:val="22"/>
          <w:szCs w:val="22"/>
        </w:rPr>
        <w:t xml:space="preserve">preparing the record and </w:t>
      </w:r>
      <w:r w:rsidR="00E43D49">
        <w:rPr>
          <w:sz w:val="22"/>
          <w:szCs w:val="22"/>
        </w:rPr>
        <w:t xml:space="preserve">ordering </w:t>
      </w:r>
      <w:r w:rsidR="005E7CEC">
        <w:rPr>
          <w:sz w:val="22"/>
          <w:szCs w:val="22"/>
        </w:rPr>
        <w:t>the transcript</w:t>
      </w:r>
      <w:r w:rsidR="00E43D49">
        <w:rPr>
          <w:sz w:val="22"/>
          <w:szCs w:val="22"/>
        </w:rPr>
        <w:t xml:space="preserve">.  This position acts as the point of contact for all record requests and prepares all necessary </w:t>
      </w:r>
      <w:r w:rsidR="00271BC0">
        <w:rPr>
          <w:sz w:val="22"/>
          <w:szCs w:val="22"/>
        </w:rPr>
        <w:t xml:space="preserve">billing letters, memos, and transmittal memos to Department </w:t>
      </w:r>
      <w:r w:rsidR="00E43D49">
        <w:rPr>
          <w:sz w:val="22"/>
          <w:szCs w:val="22"/>
        </w:rPr>
        <w:t xml:space="preserve">and provider’s counsel, </w:t>
      </w:r>
      <w:r w:rsidR="00271BC0">
        <w:rPr>
          <w:sz w:val="22"/>
          <w:szCs w:val="22"/>
        </w:rPr>
        <w:t xml:space="preserve">the Attorney General’s Office, and other parties.  </w:t>
      </w:r>
    </w:p>
    <w:p w:rsidR="00271BC0" w:rsidRDefault="00271BC0">
      <w:pPr>
        <w:pStyle w:val="BodyTextIndent"/>
        <w:rPr>
          <w:sz w:val="22"/>
        </w:rPr>
      </w:pPr>
    </w:p>
    <w:p w:rsidR="00271BC0" w:rsidRDefault="00D75F35">
      <w:pPr>
        <w:ind w:left="2160" w:hanging="1440"/>
        <w:jc w:val="left"/>
        <w:rPr>
          <w:noProof/>
        </w:rPr>
      </w:pPr>
      <w:r>
        <w:rPr>
          <w:noProof/>
        </w:rPr>
        <w:t>2</w:t>
      </w:r>
      <w:r w:rsidR="00C33CC9">
        <w:rPr>
          <w:noProof/>
        </w:rPr>
        <w:t>0</w:t>
      </w:r>
      <w:r w:rsidR="00271BC0">
        <w:rPr>
          <w:noProof/>
        </w:rPr>
        <w:t>%</w:t>
      </w:r>
      <w:r w:rsidR="00271BC0">
        <w:rPr>
          <w:noProof/>
        </w:rPr>
        <w:tab/>
      </w:r>
      <w:r w:rsidR="00D34520">
        <w:rPr>
          <w:noProof/>
        </w:rPr>
        <w:t xml:space="preserve">Responsible for updating matters in the ProLaw case tracking system. </w:t>
      </w:r>
      <w:r w:rsidR="00DB080E">
        <w:t>Monitors</w:t>
      </w:r>
      <w:r w:rsidR="001D7674">
        <w:t xml:space="preserve"> and records the progress of received appeals until the completion and effective date of the final decision issued.   Assists in the archiving of cases by determining whether the matter is the subject of judicial appeal and could be remanded for further hearing and decision.  Upon issuance of the final decision, this position analyzes the decision to ascertain the</w:t>
      </w:r>
      <w:r w:rsidR="00DB080E">
        <w:t xml:space="preserve"> determinations of law made as necessary to establish and maintain a reference database by subject matter for use office-wide.</w:t>
      </w:r>
    </w:p>
    <w:p w:rsidR="00C33CC9" w:rsidRDefault="00C33CC9">
      <w:pPr>
        <w:ind w:left="2160" w:hanging="1440"/>
        <w:jc w:val="left"/>
        <w:rPr>
          <w:noProof/>
        </w:rPr>
      </w:pPr>
    </w:p>
    <w:p w:rsidR="00936658" w:rsidRPr="00936658" w:rsidRDefault="00936658" w:rsidP="00936658">
      <w:pPr>
        <w:pStyle w:val="BodyTextIndent"/>
        <w:rPr>
          <w:sz w:val="22"/>
        </w:rPr>
      </w:pPr>
      <w:r>
        <w:rPr>
          <w:sz w:val="22"/>
        </w:rPr>
        <w:lastRenderedPageBreak/>
        <w:t>20%</w:t>
      </w:r>
      <w:r>
        <w:rPr>
          <w:sz w:val="22"/>
        </w:rPr>
        <w:tab/>
      </w:r>
      <w:r w:rsidRPr="00936658">
        <w:rPr>
          <w:sz w:val="22"/>
        </w:rPr>
        <w:t>Provides paralegal support to the Chief Administrative Law Judge, Chief of Administrative Appeals, administrative law judges, and hearing officers, including, but not limited to, researching and analyzing issues and drafting and/or editing documents.</w:t>
      </w:r>
    </w:p>
    <w:p w:rsidR="00936658" w:rsidRPr="00936658" w:rsidRDefault="00936658" w:rsidP="00936658">
      <w:pPr>
        <w:pStyle w:val="BodyTextIndent"/>
        <w:rPr>
          <w:sz w:val="22"/>
        </w:rPr>
      </w:pPr>
    </w:p>
    <w:p w:rsidR="00C33CC9" w:rsidRDefault="00D34520" w:rsidP="00C33CC9">
      <w:pPr>
        <w:ind w:left="2160" w:hanging="1440"/>
        <w:jc w:val="left"/>
        <w:rPr>
          <w:noProof/>
        </w:rPr>
      </w:pPr>
      <w:r>
        <w:rPr>
          <w:noProof/>
        </w:rPr>
        <w:t>15</w:t>
      </w:r>
      <w:r w:rsidR="00C33CC9">
        <w:rPr>
          <w:noProof/>
        </w:rPr>
        <w:t>%</w:t>
      </w:r>
      <w:r w:rsidR="00C33CC9">
        <w:rPr>
          <w:noProof/>
        </w:rPr>
        <w:tab/>
      </w:r>
      <w:r w:rsidR="00E43D49">
        <w:rPr>
          <w:noProof/>
        </w:rPr>
        <w:t>Acts as the point of contact for and responds</w:t>
      </w:r>
      <w:r w:rsidR="00C33CC9">
        <w:rPr>
          <w:noProof/>
        </w:rPr>
        <w:t xml:space="preserve"> to Public Records Act requests</w:t>
      </w:r>
      <w:r w:rsidR="005A4420">
        <w:rPr>
          <w:noProof/>
        </w:rPr>
        <w:t xml:space="preserve"> made of the office to ensure </w:t>
      </w:r>
      <w:r w:rsidR="00E43D49">
        <w:rPr>
          <w:noProof/>
        </w:rPr>
        <w:t>that the applicable statutory deadlines are met and that only records subject to disclosure under the law are produced.</w:t>
      </w:r>
    </w:p>
    <w:p w:rsidR="006D13A5" w:rsidRDefault="006D13A5">
      <w:pPr>
        <w:ind w:left="2160" w:hanging="1440"/>
        <w:jc w:val="left"/>
        <w:rPr>
          <w:noProof/>
        </w:rPr>
      </w:pPr>
    </w:p>
    <w:p w:rsidR="00C33CC9" w:rsidRDefault="00936658" w:rsidP="00C33CC9">
      <w:pPr>
        <w:pStyle w:val="BodyTextIndent"/>
        <w:rPr>
          <w:sz w:val="22"/>
        </w:rPr>
      </w:pPr>
      <w:r>
        <w:rPr>
          <w:sz w:val="22"/>
        </w:rPr>
        <w:t>5%</w:t>
      </w:r>
      <w:r>
        <w:rPr>
          <w:sz w:val="22"/>
        </w:rPr>
        <w:tab/>
      </w:r>
      <w:proofErr w:type="gramStart"/>
      <w:r>
        <w:rPr>
          <w:sz w:val="22"/>
        </w:rPr>
        <w:t>Performs</w:t>
      </w:r>
      <w:proofErr w:type="gramEnd"/>
      <w:r>
        <w:rPr>
          <w:sz w:val="22"/>
        </w:rPr>
        <w:t xml:space="preserve"> other duties and special projects as directed by the Chief of Administrative Appeals or the Chief Administrative Law Judge.</w:t>
      </w:r>
      <w:r w:rsidR="001D7674">
        <w:rPr>
          <w:sz w:val="22"/>
        </w:rPr>
        <w:t xml:space="preserve">  </w:t>
      </w:r>
    </w:p>
    <w:p w:rsidR="006D13A5" w:rsidRDefault="006D13A5">
      <w:pPr>
        <w:ind w:left="2160" w:hanging="1440"/>
        <w:jc w:val="left"/>
        <w:rPr>
          <w:noProof/>
        </w:rPr>
      </w:pPr>
    </w:p>
    <w:p w:rsidR="00271BC0" w:rsidRDefault="00271BC0">
      <w:pPr>
        <w:ind w:left="2160" w:hanging="1440"/>
        <w:jc w:val="left"/>
        <w:sectPr w:rsidR="00271BC0">
          <w:type w:val="continuous"/>
          <w:pgSz w:w="12240" w:h="15840" w:code="1"/>
          <w:pgMar w:top="720" w:right="480" w:bottom="480" w:left="480" w:header="480" w:footer="384" w:gutter="0"/>
          <w:cols w:space="720"/>
          <w:formProt w:val="0"/>
          <w:titlePg/>
          <w:docGrid w:linePitch="360"/>
        </w:sectPr>
      </w:pPr>
    </w:p>
    <w:p w:rsidR="00271BC0" w:rsidRDefault="00271BC0">
      <w:pPr>
        <w:ind w:left="2160" w:hanging="1440"/>
      </w:pPr>
    </w:p>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368"/>
        <w:gridCol w:w="1296"/>
        <w:gridCol w:w="4464"/>
        <w:gridCol w:w="1200"/>
      </w:tblGrid>
      <w:tr w:rsidR="00271BC0">
        <w:trPr>
          <w:cantSplit/>
          <w:trHeight w:hRule="exact" w:val="240"/>
        </w:trPr>
        <w:tc>
          <w:tcPr>
            <w:tcW w:w="11328" w:type="dxa"/>
            <w:gridSpan w:val="4"/>
            <w:tcBorders>
              <w:top w:val="nil"/>
              <w:bottom w:val="single" w:sz="12" w:space="0" w:color="auto"/>
            </w:tcBorders>
            <w:vAlign w:val="bottom"/>
          </w:tcPr>
          <w:p w:rsidR="00271BC0" w:rsidRDefault="00271BC0">
            <w:pPr>
              <w:pStyle w:val="Heading2"/>
            </w:pPr>
          </w:p>
        </w:tc>
      </w:tr>
      <w:tr w:rsidR="00271BC0">
        <w:trPr>
          <w:cantSplit/>
          <w:trHeight w:hRule="exact" w:val="720"/>
        </w:trPr>
        <w:tc>
          <w:tcPr>
            <w:tcW w:w="4368" w:type="dxa"/>
            <w:tcBorders>
              <w:top w:val="single" w:sz="12" w:space="0" w:color="auto"/>
              <w:left w:val="nil"/>
              <w:bottom w:val="double" w:sz="6" w:space="0" w:color="auto"/>
              <w:right w:val="single" w:sz="4" w:space="0" w:color="auto"/>
            </w:tcBorders>
          </w:tcPr>
          <w:p w:rsidR="00271BC0" w:rsidRDefault="00271BC0">
            <w:pPr>
              <w:pStyle w:val="Subhead"/>
            </w:pPr>
            <w:r>
              <w:t>Employee’s signature</w:t>
            </w:r>
          </w:p>
        </w:tc>
        <w:tc>
          <w:tcPr>
            <w:tcW w:w="1296" w:type="dxa"/>
            <w:tcBorders>
              <w:top w:val="single" w:sz="12" w:space="0" w:color="auto"/>
              <w:left w:val="single" w:sz="4" w:space="0" w:color="auto"/>
              <w:bottom w:val="double" w:sz="6" w:space="0" w:color="auto"/>
              <w:right w:val="single" w:sz="12" w:space="0" w:color="auto"/>
            </w:tcBorders>
          </w:tcPr>
          <w:p w:rsidR="00271BC0" w:rsidRDefault="00271BC0">
            <w:pPr>
              <w:pStyle w:val="Subhead"/>
            </w:pPr>
            <w:r>
              <w:t>Date</w:t>
            </w:r>
          </w:p>
        </w:tc>
        <w:tc>
          <w:tcPr>
            <w:tcW w:w="4464" w:type="dxa"/>
            <w:tcBorders>
              <w:top w:val="single" w:sz="12" w:space="0" w:color="auto"/>
              <w:left w:val="single" w:sz="12" w:space="0" w:color="auto"/>
              <w:bottom w:val="double" w:sz="6" w:space="0" w:color="auto"/>
              <w:right w:val="single" w:sz="4" w:space="0" w:color="auto"/>
            </w:tcBorders>
          </w:tcPr>
          <w:p w:rsidR="00271BC0" w:rsidRDefault="00271BC0">
            <w:pPr>
              <w:pStyle w:val="Subhead"/>
            </w:pPr>
            <w:r>
              <w:t>Supervisor’ signature</w:t>
            </w:r>
          </w:p>
        </w:tc>
        <w:tc>
          <w:tcPr>
            <w:tcW w:w="1200" w:type="dxa"/>
            <w:tcBorders>
              <w:top w:val="single" w:sz="12" w:space="0" w:color="auto"/>
              <w:left w:val="single" w:sz="4" w:space="0" w:color="auto"/>
              <w:bottom w:val="double" w:sz="6" w:space="0" w:color="auto"/>
              <w:right w:val="nil"/>
            </w:tcBorders>
          </w:tcPr>
          <w:p w:rsidR="00271BC0" w:rsidRDefault="00271BC0">
            <w:pPr>
              <w:pStyle w:val="Subhead"/>
            </w:pPr>
            <w:r>
              <w:t>Date</w:t>
            </w:r>
          </w:p>
        </w:tc>
      </w:tr>
    </w:tbl>
    <w:p w:rsidR="00271BC0" w:rsidRDefault="00271BC0">
      <w:pPr>
        <w:pStyle w:val="Footer"/>
        <w:rPr>
          <w:sz w:val="4"/>
        </w:rPr>
      </w:pPr>
    </w:p>
    <w:sectPr w:rsidR="00271BC0">
      <w:headerReference w:type="default" r:id="rId11"/>
      <w:type w:val="continuous"/>
      <w:pgSz w:w="12240" w:h="15840" w:code="1"/>
      <w:pgMar w:top="720" w:right="480" w:bottom="480" w:left="480" w:header="480" w:footer="3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F0" w:rsidRDefault="00BC43F0">
      <w:r>
        <w:separator/>
      </w:r>
    </w:p>
  </w:endnote>
  <w:endnote w:type="continuationSeparator" w:id="0">
    <w:p w:rsidR="00BC43F0" w:rsidRDefault="00BC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20" w:rsidRDefault="005A4420">
    <w:pPr>
      <w:pStyle w:val="Footer"/>
      <w:rPr>
        <w:sz w:val="16"/>
      </w:rPr>
    </w:pPr>
    <w:r>
      <w:t>DHS 2388 (5/02)</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E73CF">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E73CF">
      <w:rPr>
        <w:rStyle w:val="PageNumber"/>
        <w:noProof/>
        <w:sz w:val="16"/>
      </w:rPr>
      <w:t>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20" w:rsidRDefault="005A4420">
    <w:pPr>
      <w:pStyle w:val="Footer"/>
      <w:rPr>
        <w:sz w:val="16"/>
      </w:rPr>
    </w:pPr>
    <w:r>
      <w:t>DHS 2388 (3/02)</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E73C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E73CF">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F0" w:rsidRDefault="00BC43F0">
      <w:r>
        <w:separator/>
      </w:r>
    </w:p>
  </w:footnote>
  <w:footnote w:type="continuationSeparator" w:id="0">
    <w:p w:rsidR="00BC43F0" w:rsidRDefault="00BC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20" w:rsidRDefault="005A4420">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20" w:rsidRDefault="005A4420">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p w:rsidR="005A4420" w:rsidRDefault="005A4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20" w:rsidRDefault="005A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BF"/>
    <w:multiLevelType w:val="hybridMultilevel"/>
    <w:tmpl w:val="9C70F322"/>
    <w:lvl w:ilvl="0" w:tplc="5E4AD1C4">
      <w:start w:val="10"/>
      <w:numFmt w:val="decimal"/>
      <w:lvlText w:val="%1"/>
      <w:lvlJc w:val="left"/>
      <w:pPr>
        <w:tabs>
          <w:tab w:val="num" w:pos="2520"/>
        </w:tabs>
        <w:ind w:left="2520" w:hanging="2160"/>
      </w:pPr>
      <w:rPr>
        <w:rFonts w:hint="default"/>
      </w:rPr>
    </w:lvl>
    <w:lvl w:ilvl="1" w:tplc="E944716E" w:tentative="1">
      <w:start w:val="1"/>
      <w:numFmt w:val="lowerLetter"/>
      <w:lvlText w:val="%2."/>
      <w:lvlJc w:val="left"/>
      <w:pPr>
        <w:tabs>
          <w:tab w:val="num" w:pos="1440"/>
        </w:tabs>
        <w:ind w:left="1440" w:hanging="360"/>
      </w:pPr>
    </w:lvl>
    <w:lvl w:ilvl="2" w:tplc="105625C6" w:tentative="1">
      <w:start w:val="1"/>
      <w:numFmt w:val="lowerRoman"/>
      <w:lvlText w:val="%3."/>
      <w:lvlJc w:val="right"/>
      <w:pPr>
        <w:tabs>
          <w:tab w:val="num" w:pos="2160"/>
        </w:tabs>
        <w:ind w:left="2160" w:hanging="180"/>
      </w:pPr>
    </w:lvl>
    <w:lvl w:ilvl="3" w:tplc="9DC2B02A" w:tentative="1">
      <w:start w:val="1"/>
      <w:numFmt w:val="decimal"/>
      <w:lvlText w:val="%4."/>
      <w:lvlJc w:val="left"/>
      <w:pPr>
        <w:tabs>
          <w:tab w:val="num" w:pos="2880"/>
        </w:tabs>
        <w:ind w:left="2880" w:hanging="360"/>
      </w:pPr>
    </w:lvl>
    <w:lvl w:ilvl="4" w:tplc="D82476F0" w:tentative="1">
      <w:start w:val="1"/>
      <w:numFmt w:val="lowerLetter"/>
      <w:lvlText w:val="%5."/>
      <w:lvlJc w:val="left"/>
      <w:pPr>
        <w:tabs>
          <w:tab w:val="num" w:pos="3600"/>
        </w:tabs>
        <w:ind w:left="3600" w:hanging="360"/>
      </w:pPr>
    </w:lvl>
    <w:lvl w:ilvl="5" w:tplc="5232D724" w:tentative="1">
      <w:start w:val="1"/>
      <w:numFmt w:val="lowerRoman"/>
      <w:lvlText w:val="%6."/>
      <w:lvlJc w:val="right"/>
      <w:pPr>
        <w:tabs>
          <w:tab w:val="num" w:pos="4320"/>
        </w:tabs>
        <w:ind w:left="4320" w:hanging="180"/>
      </w:pPr>
    </w:lvl>
    <w:lvl w:ilvl="6" w:tplc="015EB2BC" w:tentative="1">
      <w:start w:val="1"/>
      <w:numFmt w:val="decimal"/>
      <w:lvlText w:val="%7."/>
      <w:lvlJc w:val="left"/>
      <w:pPr>
        <w:tabs>
          <w:tab w:val="num" w:pos="5040"/>
        </w:tabs>
        <w:ind w:left="5040" w:hanging="360"/>
      </w:pPr>
    </w:lvl>
    <w:lvl w:ilvl="7" w:tplc="8C924928" w:tentative="1">
      <w:start w:val="1"/>
      <w:numFmt w:val="lowerLetter"/>
      <w:lvlText w:val="%8."/>
      <w:lvlJc w:val="left"/>
      <w:pPr>
        <w:tabs>
          <w:tab w:val="num" w:pos="5760"/>
        </w:tabs>
        <w:ind w:left="5760" w:hanging="360"/>
      </w:pPr>
    </w:lvl>
    <w:lvl w:ilvl="8" w:tplc="D9BC8880" w:tentative="1">
      <w:start w:val="1"/>
      <w:numFmt w:val="lowerRoman"/>
      <w:lvlText w:val="%9."/>
      <w:lvlJc w:val="right"/>
      <w:pPr>
        <w:tabs>
          <w:tab w:val="num" w:pos="6480"/>
        </w:tabs>
        <w:ind w:left="6480" w:hanging="180"/>
      </w:pPr>
    </w:lvl>
  </w:abstractNum>
  <w:abstractNum w:abstractNumId="1" w15:restartNumberingAfterBreak="0">
    <w:nsid w:val="3B100854"/>
    <w:multiLevelType w:val="hybridMultilevel"/>
    <w:tmpl w:val="C0122330"/>
    <w:lvl w:ilvl="0" w:tplc="2D8CAF6E">
      <w:start w:val="15"/>
      <w:numFmt w:val="decimal"/>
      <w:lvlText w:val="%1"/>
      <w:lvlJc w:val="left"/>
      <w:pPr>
        <w:tabs>
          <w:tab w:val="num" w:pos="720"/>
        </w:tabs>
        <w:ind w:left="720" w:hanging="360"/>
      </w:pPr>
      <w:rPr>
        <w:rFonts w:hint="default"/>
      </w:rPr>
    </w:lvl>
    <w:lvl w:ilvl="1" w:tplc="BB74F68C" w:tentative="1">
      <w:start w:val="1"/>
      <w:numFmt w:val="lowerLetter"/>
      <w:lvlText w:val="%2."/>
      <w:lvlJc w:val="left"/>
      <w:pPr>
        <w:tabs>
          <w:tab w:val="num" w:pos="1440"/>
        </w:tabs>
        <w:ind w:left="1440" w:hanging="360"/>
      </w:pPr>
    </w:lvl>
    <w:lvl w:ilvl="2" w:tplc="1EE0C048" w:tentative="1">
      <w:start w:val="1"/>
      <w:numFmt w:val="lowerRoman"/>
      <w:lvlText w:val="%3."/>
      <w:lvlJc w:val="right"/>
      <w:pPr>
        <w:tabs>
          <w:tab w:val="num" w:pos="2160"/>
        </w:tabs>
        <w:ind w:left="2160" w:hanging="180"/>
      </w:pPr>
    </w:lvl>
    <w:lvl w:ilvl="3" w:tplc="03CCFBCE" w:tentative="1">
      <w:start w:val="1"/>
      <w:numFmt w:val="decimal"/>
      <w:lvlText w:val="%4."/>
      <w:lvlJc w:val="left"/>
      <w:pPr>
        <w:tabs>
          <w:tab w:val="num" w:pos="2880"/>
        </w:tabs>
        <w:ind w:left="2880" w:hanging="360"/>
      </w:pPr>
    </w:lvl>
    <w:lvl w:ilvl="4" w:tplc="997A63A4" w:tentative="1">
      <w:start w:val="1"/>
      <w:numFmt w:val="lowerLetter"/>
      <w:lvlText w:val="%5."/>
      <w:lvlJc w:val="left"/>
      <w:pPr>
        <w:tabs>
          <w:tab w:val="num" w:pos="3600"/>
        </w:tabs>
        <w:ind w:left="3600" w:hanging="360"/>
      </w:pPr>
    </w:lvl>
    <w:lvl w:ilvl="5" w:tplc="151E9E60" w:tentative="1">
      <w:start w:val="1"/>
      <w:numFmt w:val="lowerRoman"/>
      <w:lvlText w:val="%6."/>
      <w:lvlJc w:val="right"/>
      <w:pPr>
        <w:tabs>
          <w:tab w:val="num" w:pos="4320"/>
        </w:tabs>
        <w:ind w:left="4320" w:hanging="180"/>
      </w:pPr>
    </w:lvl>
    <w:lvl w:ilvl="6" w:tplc="3C866BC2" w:tentative="1">
      <w:start w:val="1"/>
      <w:numFmt w:val="decimal"/>
      <w:lvlText w:val="%7."/>
      <w:lvlJc w:val="left"/>
      <w:pPr>
        <w:tabs>
          <w:tab w:val="num" w:pos="5040"/>
        </w:tabs>
        <w:ind w:left="5040" w:hanging="360"/>
      </w:pPr>
    </w:lvl>
    <w:lvl w:ilvl="7" w:tplc="48F65ED2" w:tentative="1">
      <w:start w:val="1"/>
      <w:numFmt w:val="lowerLetter"/>
      <w:lvlText w:val="%8."/>
      <w:lvlJc w:val="left"/>
      <w:pPr>
        <w:tabs>
          <w:tab w:val="num" w:pos="5760"/>
        </w:tabs>
        <w:ind w:left="5760" w:hanging="360"/>
      </w:pPr>
    </w:lvl>
    <w:lvl w:ilvl="8" w:tplc="FBDCD776" w:tentative="1">
      <w:start w:val="1"/>
      <w:numFmt w:val="lowerRoman"/>
      <w:lvlText w:val="%9."/>
      <w:lvlJc w:val="right"/>
      <w:pPr>
        <w:tabs>
          <w:tab w:val="num" w:pos="6480"/>
        </w:tabs>
        <w:ind w:left="6480" w:hanging="180"/>
      </w:pPr>
    </w:lvl>
  </w:abstractNum>
  <w:abstractNum w:abstractNumId="2" w15:restartNumberingAfterBreak="0">
    <w:nsid w:val="7258770F"/>
    <w:multiLevelType w:val="hybridMultilevel"/>
    <w:tmpl w:val="C274917C"/>
    <w:lvl w:ilvl="0" w:tplc="62049B28">
      <w:start w:val="10"/>
      <w:numFmt w:val="decimal"/>
      <w:lvlText w:val="%1"/>
      <w:lvlJc w:val="left"/>
      <w:pPr>
        <w:tabs>
          <w:tab w:val="num" w:pos="720"/>
        </w:tabs>
        <w:ind w:left="720" w:hanging="360"/>
      </w:pPr>
      <w:rPr>
        <w:rFonts w:hint="default"/>
      </w:rPr>
    </w:lvl>
    <w:lvl w:ilvl="1" w:tplc="CA1E71C0" w:tentative="1">
      <w:start w:val="1"/>
      <w:numFmt w:val="lowerLetter"/>
      <w:lvlText w:val="%2."/>
      <w:lvlJc w:val="left"/>
      <w:pPr>
        <w:tabs>
          <w:tab w:val="num" w:pos="1440"/>
        </w:tabs>
        <w:ind w:left="1440" w:hanging="360"/>
      </w:pPr>
    </w:lvl>
    <w:lvl w:ilvl="2" w:tplc="43AA23E0" w:tentative="1">
      <w:start w:val="1"/>
      <w:numFmt w:val="lowerRoman"/>
      <w:lvlText w:val="%3."/>
      <w:lvlJc w:val="right"/>
      <w:pPr>
        <w:tabs>
          <w:tab w:val="num" w:pos="2160"/>
        </w:tabs>
        <w:ind w:left="2160" w:hanging="180"/>
      </w:pPr>
    </w:lvl>
    <w:lvl w:ilvl="3" w:tplc="A814A36C" w:tentative="1">
      <w:start w:val="1"/>
      <w:numFmt w:val="decimal"/>
      <w:lvlText w:val="%4."/>
      <w:lvlJc w:val="left"/>
      <w:pPr>
        <w:tabs>
          <w:tab w:val="num" w:pos="2880"/>
        </w:tabs>
        <w:ind w:left="2880" w:hanging="360"/>
      </w:pPr>
    </w:lvl>
    <w:lvl w:ilvl="4" w:tplc="EA5AFC36" w:tentative="1">
      <w:start w:val="1"/>
      <w:numFmt w:val="lowerLetter"/>
      <w:lvlText w:val="%5."/>
      <w:lvlJc w:val="left"/>
      <w:pPr>
        <w:tabs>
          <w:tab w:val="num" w:pos="3600"/>
        </w:tabs>
        <w:ind w:left="3600" w:hanging="360"/>
      </w:pPr>
    </w:lvl>
    <w:lvl w:ilvl="5" w:tplc="53DA5844" w:tentative="1">
      <w:start w:val="1"/>
      <w:numFmt w:val="lowerRoman"/>
      <w:lvlText w:val="%6."/>
      <w:lvlJc w:val="right"/>
      <w:pPr>
        <w:tabs>
          <w:tab w:val="num" w:pos="4320"/>
        </w:tabs>
        <w:ind w:left="4320" w:hanging="180"/>
      </w:pPr>
    </w:lvl>
    <w:lvl w:ilvl="6" w:tplc="C4C8D82E" w:tentative="1">
      <w:start w:val="1"/>
      <w:numFmt w:val="decimal"/>
      <w:lvlText w:val="%7."/>
      <w:lvlJc w:val="left"/>
      <w:pPr>
        <w:tabs>
          <w:tab w:val="num" w:pos="5040"/>
        </w:tabs>
        <w:ind w:left="5040" w:hanging="360"/>
      </w:pPr>
    </w:lvl>
    <w:lvl w:ilvl="7" w:tplc="13A85DAE" w:tentative="1">
      <w:start w:val="1"/>
      <w:numFmt w:val="lowerLetter"/>
      <w:lvlText w:val="%8."/>
      <w:lvlJc w:val="left"/>
      <w:pPr>
        <w:tabs>
          <w:tab w:val="num" w:pos="5760"/>
        </w:tabs>
        <w:ind w:left="5760" w:hanging="360"/>
      </w:pPr>
    </w:lvl>
    <w:lvl w:ilvl="8" w:tplc="59EAC734"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A8"/>
    <w:rsid w:val="00076045"/>
    <w:rsid w:val="00152459"/>
    <w:rsid w:val="001D7674"/>
    <w:rsid w:val="00226CA8"/>
    <w:rsid w:val="00271BC0"/>
    <w:rsid w:val="003552DC"/>
    <w:rsid w:val="003C6947"/>
    <w:rsid w:val="003D1643"/>
    <w:rsid w:val="00420DFF"/>
    <w:rsid w:val="00506F0B"/>
    <w:rsid w:val="00512693"/>
    <w:rsid w:val="005324C9"/>
    <w:rsid w:val="0057496C"/>
    <w:rsid w:val="005A4420"/>
    <w:rsid w:val="005D5FB4"/>
    <w:rsid w:val="005E00A5"/>
    <w:rsid w:val="005E7CEC"/>
    <w:rsid w:val="006D13A5"/>
    <w:rsid w:val="00732929"/>
    <w:rsid w:val="007D30D8"/>
    <w:rsid w:val="00936658"/>
    <w:rsid w:val="009D44C1"/>
    <w:rsid w:val="00A206BA"/>
    <w:rsid w:val="00A224A2"/>
    <w:rsid w:val="00A22581"/>
    <w:rsid w:val="00A72547"/>
    <w:rsid w:val="00AE4F27"/>
    <w:rsid w:val="00AF5957"/>
    <w:rsid w:val="00BC43F0"/>
    <w:rsid w:val="00C33CC9"/>
    <w:rsid w:val="00C90742"/>
    <w:rsid w:val="00CD2235"/>
    <w:rsid w:val="00D34520"/>
    <w:rsid w:val="00D75F35"/>
    <w:rsid w:val="00DB080E"/>
    <w:rsid w:val="00DC3F7F"/>
    <w:rsid w:val="00E43D49"/>
    <w:rsid w:val="00E443CB"/>
    <w:rsid w:val="00F0296C"/>
    <w:rsid w:val="00F45C70"/>
    <w:rsid w:val="00FA6A7A"/>
    <w:rsid w:val="00FE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7AE5F0F"/>
  <w15:docId w15:val="{E9E3229F-C04C-45C2-8967-93399F45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next w:val="Normal"/>
    <w:qFormat/>
    <w:pPr>
      <w:keepNext/>
      <w:jc w:val="center"/>
      <w:outlineLvl w:val="0"/>
    </w:pPr>
    <w:rPr>
      <w:rFonts w:ascii="Arial" w:hAnsi="Arial" w:cs="Arial"/>
      <w:b/>
      <w:bCs/>
      <w:caps/>
      <w:kern w:val="32"/>
      <w:sz w:val="24"/>
      <w:szCs w:val="32"/>
    </w:rPr>
  </w:style>
  <w:style w:type="paragraph" w:styleId="Heading2">
    <w:name w:val="heading 2"/>
    <w:next w:val="Normal"/>
    <w:qFormat/>
    <w:pPr>
      <w:keepNext/>
      <w:spacing w:after="120"/>
      <w:jc w:val="both"/>
      <w:outlineLvl w:val="1"/>
    </w:pPr>
    <w:rPr>
      <w:rFonts w:ascii="Arial" w:hAnsi="Arial" w:cs="Arial"/>
      <w:b/>
      <w:bCs/>
      <w:iCs/>
      <w:sz w:val="22"/>
      <w:szCs w:val="28"/>
    </w:rPr>
  </w:style>
  <w:style w:type="paragraph" w:styleId="Heading3">
    <w:name w:val="heading 3"/>
    <w:next w:val="Normal"/>
    <w:qFormat/>
    <w:pPr>
      <w:keepNext/>
      <w:spacing w:before="240" w:after="60"/>
      <w:outlineLvl w:val="2"/>
    </w:pPr>
    <w:rPr>
      <w:rFonts w:cs="Arial"/>
      <w:b/>
      <w:bCs/>
      <w:sz w:val="26"/>
      <w:szCs w:val="26"/>
    </w:rPr>
  </w:style>
  <w:style w:type="paragraph" w:styleId="Heading6">
    <w:name w:val="heading 6"/>
    <w:next w:val="Normal"/>
    <w:qFormat/>
    <w:pPr>
      <w:keepNext/>
      <w:ind w:left="8640"/>
      <w:outlineLvl w:val="5"/>
    </w:pPr>
    <w:rPr>
      <w:rFonts w:ascii="Bookman Old Style" w:hAnsi="Bookman Old Style"/>
      <w:color w:val="C0C0C0"/>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right" w:pos="11280"/>
      </w:tabs>
    </w:pPr>
    <w:rPr>
      <w:rFonts w:ascii="Arial" w:hAnsi="Arial" w:cs="Arial"/>
      <w:sz w:val="12"/>
    </w:rPr>
  </w:style>
  <w:style w:type="paragraph" w:styleId="Footer">
    <w:name w:val="footer"/>
    <w:pPr>
      <w:tabs>
        <w:tab w:val="right" w:pos="11280"/>
      </w:tabs>
    </w:pPr>
    <w:rPr>
      <w:rFonts w:ascii="Arial" w:hAnsi="Arial" w:cs="Arial"/>
      <w:sz w:val="12"/>
    </w:r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SAMPLE">
    <w:name w:val="SAMPLE"/>
    <w:pPr>
      <w:tabs>
        <w:tab w:val="left" w:pos="1680"/>
        <w:tab w:val="left" w:pos="3360"/>
        <w:tab w:val="left" w:pos="5040"/>
        <w:tab w:val="left" w:pos="6720"/>
        <w:tab w:val="left" w:pos="8400"/>
      </w:tabs>
    </w:pPr>
    <w:rPr>
      <w:rFonts w:ascii="Bookman Old Style" w:hAnsi="Bookman Old Style"/>
      <w:vanish/>
      <w:color w:val="C0C0C0"/>
      <w:sz w:val="200"/>
    </w:rPr>
  </w:style>
  <w:style w:type="paragraph" w:customStyle="1" w:styleId="Subhead">
    <w:name w:val="Subhead"/>
    <w:pPr>
      <w:spacing w:line="180" w:lineRule="exact"/>
    </w:pPr>
    <w:rPr>
      <w:rFonts w:ascii="Arial" w:hAnsi="Arial"/>
      <w:sz w:val="14"/>
    </w:rPr>
  </w:style>
  <w:style w:type="paragraph" w:customStyle="1" w:styleId="Fill-in">
    <w:name w:val="Fill-in"/>
    <w:pPr>
      <w:jc w:val="both"/>
    </w:pPr>
    <w:rPr>
      <w:rFonts w:ascii="Arial" w:hAnsi="Arial" w:cs="Arial"/>
      <w:iCs/>
      <w:sz w:val="22"/>
      <w:szCs w:val="28"/>
    </w:rPr>
  </w:style>
  <w:style w:type="paragraph" w:styleId="CommentText">
    <w:name w:val="annotation text"/>
    <w:basedOn w:val="Normal"/>
    <w:semiHidden/>
    <w:rPr>
      <w:sz w:val="20"/>
      <w:szCs w:val="20"/>
    </w:rPr>
  </w:style>
  <w:style w:type="paragraph" w:styleId="BodyText">
    <w:name w:val="Body Text"/>
    <w:basedOn w:val="Normal"/>
    <w:pPr>
      <w:jc w:val="left"/>
    </w:pPr>
    <w:rPr>
      <w:sz w:val="24"/>
    </w:rPr>
  </w:style>
  <w:style w:type="paragraph" w:customStyle="1" w:styleId="Fill-in--Centered">
    <w:name w:val="Fill-in--Centered"/>
    <w:basedOn w:val="Fill-in"/>
    <w:pPr>
      <w:jc w:val="center"/>
    </w:pPr>
    <w:rPr>
      <w:b/>
      <w:bCs/>
      <w:noProof/>
    </w:rPr>
  </w:style>
  <w:style w:type="paragraph" w:customStyle="1" w:styleId="sidebar">
    <w:name w:val="sidebar"/>
    <w:basedOn w:val="Fill-in"/>
    <w:pPr>
      <w:tabs>
        <w:tab w:val="left" w:pos="2160"/>
      </w:tabs>
      <w:ind w:left="2160" w:hanging="2160"/>
    </w:pPr>
    <w:rPr>
      <w:rFonts w:cs="Times New Roman"/>
      <w:iCs w:val="0"/>
      <w:szCs w:val="24"/>
    </w:rPr>
  </w:style>
  <w:style w:type="paragraph" w:styleId="BodyTextIndent">
    <w:name w:val="Body Text Indent"/>
    <w:basedOn w:val="Normal"/>
    <w:link w:val="BodyTextIndentChar"/>
    <w:pPr>
      <w:ind w:left="2160" w:hanging="1440"/>
    </w:pPr>
    <w:rPr>
      <w:sz w:val="24"/>
    </w:rPr>
  </w:style>
  <w:style w:type="paragraph" w:styleId="BodyTextIndent2">
    <w:name w:val="Body Text Indent 2"/>
    <w:basedOn w:val="Normal"/>
    <w:pPr>
      <w:ind w:left="2160"/>
    </w:pPr>
    <w:rPr>
      <w:sz w:val="24"/>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basedOn w:val="DefaultParagraphFont"/>
    <w:link w:val="BodyTextIndent"/>
    <w:rsid w:val="0093665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Duty Statement, DHS 2388</vt:lpstr>
    </vt:vector>
  </TitlesOfParts>
  <Manager>PMB</Manager>
  <Company>State of California</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DHS 2388</dc:title>
  <dc:subject>Duty Statement template</dc:subject>
  <dc:creator>CA. Department of Health Services</dc:creator>
  <cp:keywords>duty, statement, incumbent, job summary, supervision received, supervision exercised, description of duties, essential functions, marginal functions</cp:keywords>
  <cp:lastModifiedBy>Stewart, Chris (EXEC-OAHA)@DHCS</cp:lastModifiedBy>
  <cp:revision>4</cp:revision>
  <cp:lastPrinted>2020-01-10T22:41:00Z</cp:lastPrinted>
  <dcterms:created xsi:type="dcterms:W3CDTF">2019-06-04T23:11:00Z</dcterms:created>
  <dcterms:modified xsi:type="dcterms:W3CDTF">2020-01-14T23:40:00Z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