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6EBD6BE9" w14:textId="77777777" w:rsidTr="00DC3828">
        <w:trPr>
          <w:trHeight w:val="302"/>
        </w:trPr>
        <w:tc>
          <w:tcPr>
            <w:tcW w:w="8819" w:type="dxa"/>
            <w:gridSpan w:val="8"/>
            <w:tcBorders>
              <w:top w:val="nil"/>
              <w:left w:val="nil"/>
              <w:bottom w:val="nil"/>
            </w:tcBorders>
            <w:vAlign w:val="center"/>
          </w:tcPr>
          <w:p w14:paraId="3D515847"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74B4801E"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4BA4076B" w14:textId="77777777" w:rsidR="005943C7" w:rsidRPr="002E1CA3" w:rsidRDefault="005943C7" w:rsidP="00DC3828">
            <w:pPr>
              <w:rPr>
                <w:sz w:val="24"/>
                <w:szCs w:val="24"/>
              </w:rPr>
            </w:pPr>
            <w:r w:rsidRPr="002E1CA3">
              <w:rPr>
                <w:sz w:val="24"/>
                <w:szCs w:val="24"/>
              </w:rPr>
              <w:t>PROPOSED</w:t>
            </w:r>
          </w:p>
        </w:tc>
      </w:tr>
      <w:tr w:rsidR="002E1CA3" w:rsidRPr="002E1CA3" w14:paraId="2376CB1B" w14:textId="77777777" w:rsidTr="00DC3828">
        <w:trPr>
          <w:trHeight w:val="302"/>
        </w:trPr>
        <w:tc>
          <w:tcPr>
            <w:tcW w:w="5598" w:type="dxa"/>
            <w:gridSpan w:val="7"/>
            <w:tcBorders>
              <w:top w:val="nil"/>
              <w:left w:val="nil"/>
              <w:bottom w:val="nil"/>
              <w:right w:val="nil"/>
            </w:tcBorders>
            <w:vAlign w:val="center"/>
          </w:tcPr>
          <w:p w14:paraId="73E1B3E4"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34BF218C" w14:textId="77777777" w:rsidR="00CD0D6A" w:rsidRPr="002E1CA3" w:rsidRDefault="00CD0D6A" w:rsidP="00DC3828">
            <w:pPr>
              <w:rPr>
                <w:sz w:val="24"/>
                <w:szCs w:val="24"/>
              </w:rPr>
            </w:pPr>
          </w:p>
        </w:tc>
      </w:tr>
      <w:tr w:rsidR="002E1CA3" w:rsidRPr="002E1CA3" w14:paraId="0BDE8C08" w14:textId="77777777" w:rsidTr="00DC3828">
        <w:trPr>
          <w:trHeight w:val="302"/>
        </w:trPr>
        <w:tc>
          <w:tcPr>
            <w:tcW w:w="5598" w:type="dxa"/>
            <w:gridSpan w:val="7"/>
            <w:tcBorders>
              <w:top w:val="nil"/>
              <w:left w:val="nil"/>
              <w:bottom w:val="nil"/>
              <w:right w:val="nil"/>
            </w:tcBorders>
            <w:vAlign w:val="center"/>
          </w:tcPr>
          <w:p w14:paraId="1F5A9D15" w14:textId="77777777" w:rsidR="00CD0D6A" w:rsidRPr="002E1CA3" w:rsidRDefault="00CD0D6A" w:rsidP="00DC3828">
            <w:pPr>
              <w:rPr>
                <w:sz w:val="24"/>
                <w:szCs w:val="24"/>
              </w:rPr>
            </w:pPr>
          </w:p>
        </w:tc>
        <w:tc>
          <w:tcPr>
            <w:tcW w:w="3221" w:type="dxa"/>
            <w:tcBorders>
              <w:top w:val="nil"/>
              <w:left w:val="nil"/>
              <w:bottom w:val="nil"/>
            </w:tcBorders>
            <w:vAlign w:val="center"/>
          </w:tcPr>
          <w:p w14:paraId="7248F309"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73A09A40" w14:textId="77777777" w:rsidR="00CD0D6A" w:rsidRPr="002E1CA3" w:rsidRDefault="00161BB5" w:rsidP="00DC3828">
            <w:pPr>
              <w:rPr>
                <w:sz w:val="24"/>
                <w:szCs w:val="24"/>
              </w:rPr>
            </w:pPr>
            <w:r>
              <w:rPr>
                <w:sz w:val="24"/>
                <w:szCs w:val="24"/>
              </w:rPr>
              <w:t>X</w:t>
            </w:r>
          </w:p>
        </w:tc>
        <w:tc>
          <w:tcPr>
            <w:tcW w:w="1659" w:type="dxa"/>
            <w:gridSpan w:val="2"/>
            <w:tcBorders>
              <w:top w:val="nil"/>
              <w:bottom w:val="nil"/>
              <w:right w:val="nil"/>
            </w:tcBorders>
            <w:vAlign w:val="center"/>
          </w:tcPr>
          <w:p w14:paraId="734A7E5C" w14:textId="77777777" w:rsidR="00CD0D6A" w:rsidRPr="002E1CA3" w:rsidRDefault="00CD0D6A" w:rsidP="00DC3828">
            <w:pPr>
              <w:rPr>
                <w:sz w:val="24"/>
                <w:szCs w:val="24"/>
              </w:rPr>
            </w:pPr>
            <w:r w:rsidRPr="002E1CA3">
              <w:rPr>
                <w:sz w:val="24"/>
                <w:szCs w:val="24"/>
              </w:rPr>
              <w:t>CURRENT</w:t>
            </w:r>
          </w:p>
        </w:tc>
      </w:tr>
      <w:tr w:rsidR="002E1CA3" w:rsidRPr="002E1CA3" w14:paraId="22926A09" w14:textId="77777777" w:rsidTr="00DC3828">
        <w:trPr>
          <w:trHeight w:val="302"/>
        </w:trPr>
        <w:tc>
          <w:tcPr>
            <w:tcW w:w="5598" w:type="dxa"/>
            <w:gridSpan w:val="7"/>
            <w:tcBorders>
              <w:top w:val="nil"/>
              <w:left w:val="nil"/>
              <w:bottom w:val="single" w:sz="4" w:space="0" w:color="auto"/>
              <w:right w:val="nil"/>
            </w:tcBorders>
            <w:vAlign w:val="center"/>
          </w:tcPr>
          <w:p w14:paraId="73AEC514"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12CB769F" w14:textId="77777777" w:rsidR="00CD0D6A" w:rsidRPr="002E1CA3" w:rsidRDefault="00CD0D6A" w:rsidP="00DC3828">
            <w:pPr>
              <w:rPr>
                <w:sz w:val="24"/>
                <w:szCs w:val="24"/>
              </w:rPr>
            </w:pPr>
          </w:p>
        </w:tc>
      </w:tr>
      <w:tr w:rsidR="00A06728" w:rsidRPr="002E1CA3" w14:paraId="66EA581D" w14:textId="77777777" w:rsidTr="00DC3828">
        <w:trPr>
          <w:trHeight w:val="302"/>
        </w:trPr>
        <w:tc>
          <w:tcPr>
            <w:tcW w:w="5598" w:type="dxa"/>
            <w:gridSpan w:val="7"/>
            <w:tcBorders>
              <w:top w:val="single" w:sz="4" w:space="0" w:color="auto"/>
              <w:left w:val="single" w:sz="4" w:space="0" w:color="auto"/>
              <w:bottom w:val="nil"/>
            </w:tcBorders>
            <w:vAlign w:val="center"/>
          </w:tcPr>
          <w:p w14:paraId="65FA9E8E"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5AA18BC5"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027BEAC6"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1C67575C" w14:textId="77777777" w:rsidTr="00DC3828">
        <w:trPr>
          <w:trHeight w:val="302"/>
        </w:trPr>
        <w:tc>
          <w:tcPr>
            <w:tcW w:w="5598" w:type="dxa"/>
            <w:gridSpan w:val="7"/>
            <w:tcBorders>
              <w:top w:val="nil"/>
              <w:left w:val="single" w:sz="4" w:space="0" w:color="auto"/>
              <w:bottom w:val="single" w:sz="4" w:space="0" w:color="auto"/>
            </w:tcBorders>
            <w:vAlign w:val="center"/>
          </w:tcPr>
          <w:p w14:paraId="4743347E" w14:textId="77777777" w:rsidR="00A06728" w:rsidRPr="002E1CA3" w:rsidRDefault="00362DEC" w:rsidP="00DC3828">
            <w:pPr>
              <w:rPr>
                <w:sz w:val="24"/>
                <w:szCs w:val="24"/>
              </w:rPr>
            </w:pPr>
            <w:r w:rsidRPr="00362DEC">
              <w:rPr>
                <w:sz w:val="24"/>
                <w:szCs w:val="24"/>
              </w:rPr>
              <w:t>California Debt and Investment Advisory Commission (CDIAC)</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8419C16" w14:textId="0E78F78A" w:rsidR="00A06728" w:rsidRPr="00167A73" w:rsidRDefault="006357FD" w:rsidP="00DC3828">
                <w:r w:rsidRPr="006357FD">
                  <w:rPr>
                    <w:rStyle w:val="Position"/>
                  </w:rPr>
                  <w:t>318-001-</w:t>
                </w:r>
                <w:r w:rsidR="00F46DC4">
                  <w:rPr>
                    <w:rStyle w:val="Position"/>
                  </w:rPr>
                  <w:t>5157-XXX</w:t>
                </w:r>
              </w:p>
            </w:tc>
          </w:sdtContent>
        </w:sdt>
        <w:tc>
          <w:tcPr>
            <w:tcW w:w="1074" w:type="dxa"/>
            <w:tcBorders>
              <w:top w:val="nil"/>
              <w:bottom w:val="single" w:sz="4" w:space="0" w:color="auto"/>
            </w:tcBorders>
            <w:vAlign w:val="center"/>
          </w:tcPr>
          <w:p w14:paraId="080E01CA" w14:textId="5FA8F6B6" w:rsidR="00A06728" w:rsidRPr="00167A73" w:rsidRDefault="00F46DC4" w:rsidP="00DC3828">
            <w:r>
              <w:t xml:space="preserve"> </w:t>
            </w:r>
          </w:p>
        </w:tc>
      </w:tr>
      <w:tr w:rsidR="004120A7" w:rsidRPr="002E1CA3" w14:paraId="75900CF3" w14:textId="77777777" w:rsidTr="00DC3828">
        <w:trPr>
          <w:trHeight w:val="302"/>
        </w:trPr>
        <w:tc>
          <w:tcPr>
            <w:tcW w:w="5598" w:type="dxa"/>
            <w:gridSpan w:val="7"/>
            <w:tcBorders>
              <w:top w:val="single" w:sz="4" w:space="0" w:color="auto"/>
              <w:bottom w:val="nil"/>
            </w:tcBorders>
            <w:vAlign w:val="center"/>
          </w:tcPr>
          <w:p w14:paraId="438F2802"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65FEA86B"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709B0DB0" w14:textId="77777777" w:rsidTr="00DC3828">
        <w:trPr>
          <w:trHeight w:val="302"/>
        </w:trPr>
        <w:tc>
          <w:tcPr>
            <w:tcW w:w="5598" w:type="dxa"/>
            <w:gridSpan w:val="7"/>
            <w:tcBorders>
              <w:top w:val="nil"/>
            </w:tcBorders>
            <w:vAlign w:val="center"/>
          </w:tcPr>
          <w:p w14:paraId="324DBEB0" w14:textId="77777777" w:rsidR="00056907" w:rsidRPr="00167A73" w:rsidRDefault="00056907" w:rsidP="00DC3828"/>
        </w:tc>
        <w:tc>
          <w:tcPr>
            <w:tcW w:w="5210" w:type="dxa"/>
            <w:gridSpan w:val="4"/>
            <w:tcBorders>
              <w:top w:val="nil"/>
              <w:bottom w:val="single" w:sz="4" w:space="0" w:color="auto"/>
            </w:tcBorders>
            <w:vAlign w:val="center"/>
          </w:tcPr>
          <w:p w14:paraId="6B993BE1" w14:textId="5DEEBD33" w:rsidR="00056907" w:rsidRPr="00167A73" w:rsidRDefault="00F46DC4" w:rsidP="00DC3828">
            <w:r>
              <w:t>Staff Services Analyst</w:t>
            </w:r>
          </w:p>
        </w:tc>
      </w:tr>
      <w:tr w:rsidR="00052E80" w:rsidRPr="00167A73" w14:paraId="781BDE60" w14:textId="77777777" w:rsidTr="00052E80">
        <w:trPr>
          <w:trHeight w:val="302"/>
        </w:trPr>
        <w:tc>
          <w:tcPr>
            <w:tcW w:w="2356" w:type="dxa"/>
            <w:gridSpan w:val="2"/>
            <w:tcBorders>
              <w:bottom w:val="nil"/>
            </w:tcBorders>
            <w:vAlign w:val="center"/>
          </w:tcPr>
          <w:p w14:paraId="076908F6"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638967C2"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295E65A1"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256D9766"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7855E996"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2EF0EEA" w14:textId="77777777" w:rsidR="00052E80" w:rsidRDefault="00052E80" w:rsidP="00052E80">
            <w:r w:rsidRPr="00F77711">
              <w:rPr>
                <w:b/>
                <w:color w:val="7F7F7F" w:themeColor="text1" w:themeTint="80"/>
                <w:sz w:val="16"/>
                <w:szCs w:val="16"/>
              </w:rPr>
              <w:t>WORKING TITLE</w:t>
            </w:r>
          </w:p>
        </w:tc>
      </w:tr>
      <w:tr w:rsidR="00052E80" w:rsidRPr="00167A73" w14:paraId="3858CF9B" w14:textId="77777777" w:rsidTr="00177F01">
        <w:trPr>
          <w:trHeight w:val="302"/>
        </w:trPr>
        <w:tc>
          <w:tcPr>
            <w:tcW w:w="2356" w:type="dxa"/>
            <w:gridSpan w:val="2"/>
            <w:tcBorders>
              <w:top w:val="nil"/>
              <w:bottom w:val="nil"/>
            </w:tcBorders>
            <w:vAlign w:val="center"/>
          </w:tcPr>
          <w:p w14:paraId="602F11FE" w14:textId="77777777" w:rsidR="00052E80" w:rsidRPr="00167A73" w:rsidRDefault="006357FD" w:rsidP="00052E80">
            <w:r>
              <w:t>P/FT</w:t>
            </w:r>
          </w:p>
        </w:tc>
        <w:tc>
          <w:tcPr>
            <w:tcW w:w="563" w:type="dxa"/>
            <w:tcBorders>
              <w:top w:val="nil"/>
              <w:bottom w:val="nil"/>
            </w:tcBorders>
            <w:vAlign w:val="center"/>
          </w:tcPr>
          <w:p w14:paraId="08D226B4" w14:textId="77777777" w:rsidR="00052E80" w:rsidRPr="00167A73" w:rsidRDefault="006357FD" w:rsidP="00177F01">
            <w:pPr>
              <w:jc w:val="center"/>
            </w:pPr>
            <w:r>
              <w:t>R01</w:t>
            </w:r>
          </w:p>
        </w:tc>
        <w:tc>
          <w:tcPr>
            <w:tcW w:w="608" w:type="dxa"/>
            <w:tcBorders>
              <w:top w:val="nil"/>
              <w:bottom w:val="nil"/>
            </w:tcBorders>
            <w:vAlign w:val="center"/>
          </w:tcPr>
          <w:p w14:paraId="01236A50" w14:textId="77777777" w:rsidR="00052E80" w:rsidRPr="00167A73" w:rsidRDefault="006357FD" w:rsidP="00177F01">
            <w:pPr>
              <w:jc w:val="center"/>
            </w:pPr>
            <w:r>
              <w:t>2</w:t>
            </w:r>
          </w:p>
        </w:tc>
        <w:tc>
          <w:tcPr>
            <w:tcW w:w="1540" w:type="dxa"/>
            <w:gridSpan w:val="2"/>
            <w:tcBorders>
              <w:top w:val="nil"/>
              <w:bottom w:val="nil"/>
            </w:tcBorders>
            <w:vAlign w:val="center"/>
          </w:tcPr>
          <w:p w14:paraId="46B224E7"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F46DC4">
              <w:rPr>
                <w:bCs/>
                <w:sz w:val="16"/>
                <w:szCs w:val="16"/>
              </w:rPr>
            </w:r>
            <w:r w:rsidR="00F46DC4">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F46DC4">
              <w:rPr>
                <w:bCs/>
                <w:sz w:val="16"/>
                <w:szCs w:val="16"/>
              </w:rPr>
            </w:r>
            <w:r w:rsidR="00F46DC4">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3B3E8158" w14:textId="77777777" w:rsidR="00052E80" w:rsidRPr="00167A73" w:rsidRDefault="006357FD" w:rsidP="00177F01">
            <w:pPr>
              <w:jc w:val="center"/>
            </w:pPr>
            <w:r>
              <w:t>1</w:t>
            </w:r>
          </w:p>
        </w:tc>
        <w:tc>
          <w:tcPr>
            <w:tcW w:w="5210" w:type="dxa"/>
            <w:gridSpan w:val="4"/>
            <w:tcBorders>
              <w:top w:val="nil"/>
            </w:tcBorders>
            <w:vAlign w:val="center"/>
          </w:tcPr>
          <w:p w14:paraId="67F4E096" w14:textId="4090B92A" w:rsidR="00052E80" w:rsidRPr="00167A73" w:rsidRDefault="00F46DC4" w:rsidP="00052E80">
            <w:r>
              <w:t>Staff Services Analyst</w:t>
            </w:r>
          </w:p>
        </w:tc>
      </w:tr>
      <w:tr w:rsidR="00052E80" w:rsidRPr="002E1CA3" w14:paraId="6B1FF568" w14:textId="77777777" w:rsidTr="00DC3828">
        <w:trPr>
          <w:trHeight w:val="302"/>
        </w:trPr>
        <w:tc>
          <w:tcPr>
            <w:tcW w:w="5598" w:type="dxa"/>
            <w:gridSpan w:val="7"/>
            <w:tcBorders>
              <w:bottom w:val="nil"/>
            </w:tcBorders>
            <w:vAlign w:val="center"/>
          </w:tcPr>
          <w:p w14:paraId="4221437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112674D1"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B5C3312"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332C7813" w14:textId="77777777" w:rsidTr="00DC3828">
        <w:trPr>
          <w:trHeight w:val="302"/>
        </w:trPr>
        <w:tc>
          <w:tcPr>
            <w:tcW w:w="5598" w:type="dxa"/>
            <w:gridSpan w:val="7"/>
            <w:tcBorders>
              <w:top w:val="nil"/>
              <w:bottom w:val="single" w:sz="4" w:space="0" w:color="auto"/>
            </w:tcBorders>
            <w:vAlign w:val="center"/>
          </w:tcPr>
          <w:p w14:paraId="441675A4" w14:textId="77777777" w:rsidR="00052E80" w:rsidRPr="00167A73" w:rsidRDefault="006357FD" w:rsidP="00052E80">
            <w:r>
              <w:t>Sacramento</w:t>
            </w:r>
          </w:p>
        </w:tc>
        <w:tc>
          <w:tcPr>
            <w:tcW w:w="3221" w:type="dxa"/>
            <w:tcBorders>
              <w:top w:val="nil"/>
              <w:bottom w:val="single" w:sz="4" w:space="0" w:color="auto"/>
            </w:tcBorders>
            <w:vAlign w:val="center"/>
          </w:tcPr>
          <w:p w14:paraId="2CABECEC" w14:textId="5C1D8735" w:rsidR="00052E80" w:rsidRPr="00167A73" w:rsidRDefault="00F46DC4" w:rsidP="00052E80">
            <w:r>
              <w:t xml:space="preserve"> </w:t>
            </w:r>
          </w:p>
        </w:tc>
        <w:tc>
          <w:tcPr>
            <w:tcW w:w="1989" w:type="dxa"/>
            <w:gridSpan w:val="3"/>
            <w:tcBorders>
              <w:top w:val="nil"/>
              <w:bottom w:val="single" w:sz="4" w:space="0" w:color="auto"/>
            </w:tcBorders>
            <w:vAlign w:val="center"/>
          </w:tcPr>
          <w:p w14:paraId="5AACD321" w14:textId="61384147" w:rsidR="00052E80" w:rsidRPr="00167A73" w:rsidRDefault="00F46DC4" w:rsidP="00052E80">
            <w:r>
              <w:t xml:space="preserve"> </w:t>
            </w:r>
          </w:p>
        </w:tc>
      </w:tr>
      <w:tr w:rsidR="00052E80" w:rsidRPr="002E1CA3" w14:paraId="4BEE2DAC" w14:textId="77777777" w:rsidTr="00DC3828">
        <w:tc>
          <w:tcPr>
            <w:tcW w:w="10808" w:type="dxa"/>
            <w:gridSpan w:val="11"/>
            <w:tcBorders>
              <w:bottom w:val="single" w:sz="4" w:space="0" w:color="auto"/>
            </w:tcBorders>
            <w:shd w:val="clear" w:color="auto" w:fill="A6A6A6" w:themeFill="background1" w:themeFillShade="A6"/>
          </w:tcPr>
          <w:p w14:paraId="4C0737A2" w14:textId="77777777" w:rsidR="00052E80" w:rsidRPr="002E1CA3" w:rsidRDefault="00052E80" w:rsidP="00052E80">
            <w:pPr>
              <w:rPr>
                <w:b/>
                <w:sz w:val="20"/>
                <w:szCs w:val="20"/>
              </w:rPr>
            </w:pPr>
            <w:r>
              <w:rPr>
                <w:b/>
                <w:sz w:val="20"/>
                <w:szCs w:val="20"/>
              </w:rPr>
              <w:t>STATE TREASURER’S OFFICE MISSION</w:t>
            </w:r>
          </w:p>
        </w:tc>
      </w:tr>
      <w:tr w:rsidR="00052E80" w:rsidRPr="002E1CA3" w14:paraId="3E4C3D9B" w14:textId="77777777" w:rsidTr="00DC3828">
        <w:tc>
          <w:tcPr>
            <w:tcW w:w="10808" w:type="dxa"/>
            <w:gridSpan w:val="11"/>
            <w:tcBorders>
              <w:top w:val="nil"/>
              <w:bottom w:val="single" w:sz="4" w:space="0" w:color="auto"/>
            </w:tcBorders>
          </w:tcPr>
          <w:p w14:paraId="0B5B07F0"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84709C4" w14:textId="77777777" w:rsidTr="00DC3828">
        <w:tc>
          <w:tcPr>
            <w:tcW w:w="10808" w:type="dxa"/>
            <w:gridSpan w:val="11"/>
            <w:tcBorders>
              <w:bottom w:val="single" w:sz="4" w:space="0" w:color="auto"/>
            </w:tcBorders>
            <w:shd w:val="clear" w:color="auto" w:fill="A6A6A6" w:themeFill="background1" w:themeFillShade="A6"/>
          </w:tcPr>
          <w:p w14:paraId="0DE43EB9"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5EFCB199" w14:textId="77777777" w:rsidTr="00DC3828">
        <w:tc>
          <w:tcPr>
            <w:tcW w:w="10808" w:type="dxa"/>
            <w:gridSpan w:val="11"/>
            <w:tcBorders>
              <w:top w:val="nil"/>
              <w:bottom w:val="single" w:sz="4" w:space="0" w:color="auto"/>
            </w:tcBorders>
          </w:tcPr>
          <w:p w14:paraId="284E4D6A"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CC7F637" w14:textId="77777777" w:rsidTr="00DC3828">
        <w:tc>
          <w:tcPr>
            <w:tcW w:w="10808" w:type="dxa"/>
            <w:gridSpan w:val="11"/>
            <w:tcBorders>
              <w:bottom w:val="single" w:sz="4" w:space="0" w:color="auto"/>
            </w:tcBorders>
            <w:shd w:val="clear" w:color="auto" w:fill="A6A6A6" w:themeFill="background1" w:themeFillShade="A6"/>
          </w:tcPr>
          <w:p w14:paraId="1F362F79"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3DD11B0F" w14:textId="77777777" w:rsidTr="00DC3828">
        <w:tc>
          <w:tcPr>
            <w:tcW w:w="10808" w:type="dxa"/>
            <w:gridSpan w:val="11"/>
            <w:tcBorders>
              <w:top w:val="single" w:sz="4" w:space="0" w:color="auto"/>
              <w:left w:val="single" w:sz="4" w:space="0" w:color="auto"/>
              <w:bottom w:val="nil"/>
              <w:right w:val="single" w:sz="4" w:space="0" w:color="auto"/>
            </w:tcBorders>
          </w:tcPr>
          <w:p w14:paraId="1E3DA43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3B9559FF" w14:textId="77777777" w:rsidTr="00DC3828">
        <w:tc>
          <w:tcPr>
            <w:tcW w:w="10808" w:type="dxa"/>
            <w:gridSpan w:val="11"/>
            <w:tcBorders>
              <w:top w:val="nil"/>
              <w:bottom w:val="single" w:sz="4" w:space="0" w:color="auto"/>
            </w:tcBorders>
          </w:tcPr>
          <w:p w14:paraId="1A07E2D2" w14:textId="77777777" w:rsidR="00052E80" w:rsidRPr="002E1CA3" w:rsidRDefault="00DB07DD" w:rsidP="00425E07">
            <w:pPr>
              <w:tabs>
                <w:tab w:val="left" w:pos="1816"/>
              </w:tabs>
              <w:rPr>
                <w:sz w:val="20"/>
                <w:szCs w:val="20"/>
              </w:rPr>
            </w:pPr>
            <w:r w:rsidRPr="00017461">
              <w:rPr>
                <w:sz w:val="20"/>
                <w:szCs w:val="20"/>
              </w:rPr>
              <w:t>The California Debt Advisory Commission was established by statute in 1981. The Commission is the State's clearinghouse for information on public debt issuance. The Commission collects and analyzes information on the issuance of tax-exempt debt and provides technical assistance and analysis of policy issues concerning public debt and investments.</w:t>
            </w:r>
            <w:r w:rsidR="00425E07">
              <w:rPr>
                <w:sz w:val="20"/>
                <w:szCs w:val="20"/>
              </w:rPr>
              <w:tab/>
            </w:r>
          </w:p>
        </w:tc>
      </w:tr>
      <w:tr w:rsidR="00052E80" w:rsidRPr="002E1CA3" w14:paraId="0209B63F" w14:textId="77777777" w:rsidTr="00DC3828">
        <w:tc>
          <w:tcPr>
            <w:tcW w:w="10808" w:type="dxa"/>
            <w:gridSpan w:val="11"/>
            <w:tcBorders>
              <w:bottom w:val="single" w:sz="4" w:space="0" w:color="auto"/>
            </w:tcBorders>
            <w:shd w:val="clear" w:color="auto" w:fill="A6A6A6" w:themeFill="background1" w:themeFillShade="A6"/>
          </w:tcPr>
          <w:p w14:paraId="6BAA5EF4" w14:textId="77777777" w:rsidR="00052E80" w:rsidRPr="002E1CA3" w:rsidRDefault="00052E80" w:rsidP="00052E80">
            <w:pPr>
              <w:rPr>
                <w:b/>
                <w:sz w:val="20"/>
                <w:szCs w:val="20"/>
              </w:rPr>
            </w:pPr>
            <w:r w:rsidRPr="002E1CA3">
              <w:rPr>
                <w:b/>
                <w:sz w:val="20"/>
                <w:szCs w:val="20"/>
              </w:rPr>
              <w:t>GENERAL STATEMENT</w:t>
            </w:r>
          </w:p>
        </w:tc>
      </w:tr>
      <w:tr w:rsidR="00052E80" w:rsidRPr="00F77711" w14:paraId="4C6A2537" w14:textId="77777777" w:rsidTr="00DC3828">
        <w:tc>
          <w:tcPr>
            <w:tcW w:w="10808" w:type="dxa"/>
            <w:gridSpan w:val="11"/>
            <w:tcBorders>
              <w:top w:val="single" w:sz="4" w:space="0" w:color="auto"/>
              <w:left w:val="single" w:sz="4" w:space="0" w:color="auto"/>
              <w:bottom w:val="nil"/>
              <w:right w:val="single" w:sz="4" w:space="0" w:color="auto"/>
            </w:tcBorders>
          </w:tcPr>
          <w:p w14:paraId="49A14F4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0B8B8A98" w14:textId="77777777" w:rsidTr="00DC3828">
        <w:tc>
          <w:tcPr>
            <w:tcW w:w="10808" w:type="dxa"/>
            <w:gridSpan w:val="11"/>
            <w:tcBorders>
              <w:top w:val="nil"/>
              <w:bottom w:val="single" w:sz="4" w:space="0" w:color="auto"/>
            </w:tcBorders>
          </w:tcPr>
          <w:p w14:paraId="1F228D18" w14:textId="23AF4151" w:rsidR="00052E80" w:rsidRPr="002E1CA3" w:rsidRDefault="00F46DC4" w:rsidP="006357FD">
            <w:pPr>
              <w:spacing w:line="240" w:lineRule="exact"/>
              <w:ind w:left="-18" w:hanging="18"/>
              <w:jc w:val="both"/>
              <w:rPr>
                <w:sz w:val="20"/>
                <w:szCs w:val="20"/>
              </w:rPr>
            </w:pPr>
            <w:r w:rsidRPr="00F46DC4">
              <w:rPr>
                <w:sz w:val="20"/>
                <w:szCs w:val="20"/>
              </w:rPr>
              <w:t>Under the general direction of the Staff Services Manager I, this position performs the following duties with minimal direction:</w:t>
            </w:r>
          </w:p>
        </w:tc>
      </w:tr>
      <w:tr w:rsidR="00052E80" w:rsidRPr="002E1CA3" w14:paraId="1DA2742E"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03509787"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45D1D342"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0FECB1C3"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FD416" w14:textId="77777777" w:rsidR="00052E80" w:rsidRPr="002E1CA3" w:rsidRDefault="006357FD" w:rsidP="00052E80">
            <w:pPr>
              <w:jc w:val="center"/>
              <w:rPr>
                <w:sz w:val="20"/>
                <w:szCs w:val="20"/>
              </w:rPr>
            </w:pPr>
            <w:r>
              <w:rPr>
                <w:sz w:val="20"/>
                <w:szCs w:val="20"/>
              </w:rPr>
              <w:t>60%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9CA9A" w14:textId="77777777" w:rsidR="00F46DC4" w:rsidRPr="00F46DC4" w:rsidRDefault="00F46DC4" w:rsidP="00F46DC4">
            <w:pPr>
              <w:spacing w:after="0" w:line="240" w:lineRule="auto"/>
              <w:rPr>
                <w:bCs/>
                <w:sz w:val="20"/>
                <w:szCs w:val="20"/>
              </w:rPr>
            </w:pPr>
            <w:r w:rsidRPr="00F46DC4">
              <w:rPr>
                <w:bCs/>
                <w:sz w:val="20"/>
                <w:szCs w:val="20"/>
              </w:rPr>
              <w:t>Under guidance analyzes, inputs and audits proposed and final debt issuance reports filed with the Commission before and after issuance; assists in monitoring the progress of proposed and sold debt throughout the process; reviews and evaluates proposed and final debt issuance reports to ensure the accuracy and consistency with the Commission’s database; determines if issuance and annual reporting requirements have been met; analyzes, inputs and audits annual reports on debt issued and outstanding to ensure accuracy and consistency with the Commission’s database including, but not limited to, the Marks-</w:t>
            </w:r>
            <w:proofErr w:type="spellStart"/>
            <w:r w:rsidRPr="00F46DC4">
              <w:rPr>
                <w:bCs/>
                <w:sz w:val="20"/>
                <w:szCs w:val="20"/>
              </w:rPr>
              <w:t>Roos</w:t>
            </w:r>
            <w:proofErr w:type="spellEnd"/>
            <w:r w:rsidRPr="00F46DC4">
              <w:rPr>
                <w:bCs/>
                <w:sz w:val="20"/>
                <w:szCs w:val="20"/>
              </w:rPr>
              <w:t>, Mello-</w:t>
            </w:r>
            <w:proofErr w:type="spellStart"/>
            <w:r w:rsidRPr="00F46DC4">
              <w:rPr>
                <w:bCs/>
                <w:sz w:val="20"/>
                <w:szCs w:val="20"/>
              </w:rPr>
              <w:t>Roos</w:t>
            </w:r>
            <w:proofErr w:type="spellEnd"/>
            <w:r w:rsidRPr="00F46DC4">
              <w:rPr>
                <w:bCs/>
                <w:sz w:val="20"/>
                <w:szCs w:val="20"/>
              </w:rPr>
              <w:t xml:space="preserve"> and Annual Debt Transparency Report; assists in the development of automated and manually created spreadsheets for analysis of debt</w:t>
            </w:r>
          </w:p>
          <w:p w14:paraId="1D8845DB" w14:textId="7D95F27D" w:rsidR="00052E80" w:rsidRPr="005A1BC8" w:rsidRDefault="00F46DC4" w:rsidP="00F46DC4">
            <w:pPr>
              <w:rPr>
                <w:bCs/>
                <w:sz w:val="20"/>
                <w:szCs w:val="20"/>
              </w:rPr>
            </w:pPr>
            <w:r w:rsidRPr="00F46DC4">
              <w:rPr>
                <w:bCs/>
                <w:sz w:val="20"/>
                <w:szCs w:val="20"/>
              </w:rPr>
              <w:t>information including summaries of annual issuances; assists in the research and analysis of annual report information prior to entry into the Commission’s database for accuracy and consistency; retrieves data from the Commission’s database for routine use; uses external sources to gather data concerning state and local debt issuance data; reviews input and output documents and reports for discrepancies and resolves through routine contacts with filers; maintains standards for input, analysis and auditing of debt data; assists in reviewing complex legal documents associated with the sale of debt to ensure accuracy of the reports filed with the Commission; under general direction reconciles reported data with statements in legal documents; assists in the review of end of year or fiscal year reports that are generated by the Commission’s report database and posted online</w:t>
            </w:r>
            <w:r>
              <w:rPr>
                <w:bCs/>
                <w:sz w:val="20"/>
                <w:szCs w:val="20"/>
              </w:rPr>
              <w:t>.</w:t>
            </w:r>
          </w:p>
        </w:tc>
      </w:tr>
      <w:tr w:rsidR="00052E80" w14:paraId="54BA1CC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C3918" w14:textId="77777777" w:rsidR="00052E80" w:rsidRDefault="006357FD"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D70A7D" w14:textId="2AB483BE" w:rsidR="00052E80" w:rsidRDefault="00F46DC4" w:rsidP="00F46AF2">
            <w:pPr>
              <w:rPr>
                <w:sz w:val="20"/>
                <w:szCs w:val="20"/>
              </w:rPr>
            </w:pPr>
            <w:r w:rsidRPr="00F46DC4">
              <w:rPr>
                <w:sz w:val="20"/>
                <w:szCs w:val="20"/>
              </w:rPr>
              <w:t>Assists in the preparation, editing, and updating of CDIAC documents, publications and statistical reports; contributes to the Unit’s preparation of the calendar of debt issues; assists in providing data for articles for the monthly DEBTLINE newsletter; assists constituents with onboarding and use of CDIAC’s online report submittal user interface (the Data Portal); assists in the development and maintenance of operating procedure manuals in according to CDIAC's statute and regulations; provides statistical data related to debt issuance; assists in the collection, review, analysis and verification of data for use in the Commission's mandated annual reports.</w:t>
            </w:r>
          </w:p>
        </w:tc>
      </w:tr>
      <w:tr w:rsidR="00052E80" w14:paraId="7837847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FB194" w14:textId="77777777" w:rsidR="00052E80" w:rsidRDefault="006357FD" w:rsidP="00052E80">
            <w:pPr>
              <w:jc w:val="center"/>
              <w:rPr>
                <w:sz w:val="20"/>
                <w:szCs w:val="20"/>
              </w:rPr>
            </w:pPr>
            <w:r>
              <w:rPr>
                <w:sz w:val="20"/>
                <w:szCs w:val="20"/>
              </w:rPr>
              <w:lastRenderedPageBreak/>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7C362F" w14:textId="3259DEAF" w:rsidR="00052E80" w:rsidRDefault="00F46DC4" w:rsidP="00F46AF2">
            <w:pPr>
              <w:rPr>
                <w:sz w:val="20"/>
                <w:szCs w:val="20"/>
              </w:rPr>
            </w:pPr>
            <w:r w:rsidRPr="00F46DC4">
              <w:rPr>
                <w:sz w:val="20"/>
                <w:szCs w:val="20"/>
              </w:rPr>
              <w:t>Assists in the assessment of CDIAC reporting fees. Under direction and guidance, assist with reconciling the accounts receivable of outstanding fee invoices. Monitor payments received by Commission, and record data for both check and electronic payments in database. Produce and distribute regular periodic follow-up inquiries for unpaid fees. Maintain data reports to assess and evaluate fees collected and/or fees outstanding by month, year, fiscal year, etc.</w:t>
            </w:r>
          </w:p>
        </w:tc>
      </w:tr>
      <w:tr w:rsidR="00052E80" w14:paraId="7020EA9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E290F9" w14:textId="77777777" w:rsidR="00052E80" w:rsidRDefault="006357FD"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040C1" w14:textId="3CC39397" w:rsidR="00052E80" w:rsidRDefault="00F46DC4" w:rsidP="00F46AF2">
            <w:pPr>
              <w:rPr>
                <w:sz w:val="20"/>
                <w:szCs w:val="20"/>
              </w:rPr>
            </w:pPr>
            <w:r w:rsidRPr="00F46DC4">
              <w:rPr>
                <w:sz w:val="20"/>
                <w:szCs w:val="20"/>
              </w:rPr>
              <w:t>Prepares correspondence, issues memos and conducts research in response to technical assistance requests from Commission members, members of the Legislature, and representatives of the public and private sectors concerning financings; assists in the research and preparation of ad hoc reports as directed by management; responds independently to questions concerning CDIAC’s programs, policies, debt issuance and the characteristics of different types of financing instruments both orally and in writing.</w:t>
            </w:r>
          </w:p>
        </w:tc>
      </w:tr>
      <w:tr w:rsidR="00052E80" w14:paraId="7B3917A6"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50285" w14:textId="77777777" w:rsidR="00052E80" w:rsidRDefault="006357FD"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E7A5D" w14:textId="77777777" w:rsidR="00052E80" w:rsidRDefault="006357FD" w:rsidP="00F46AF2">
            <w:pPr>
              <w:rPr>
                <w:sz w:val="20"/>
                <w:szCs w:val="20"/>
              </w:rPr>
            </w:pPr>
            <w:r w:rsidRPr="006357FD">
              <w:rPr>
                <w:sz w:val="20"/>
                <w:szCs w:val="20"/>
              </w:rPr>
              <w:t>Other programmatic or administrative duties as required.</w:t>
            </w:r>
          </w:p>
        </w:tc>
      </w:tr>
      <w:tr w:rsidR="00052E80" w:rsidRPr="002E1CA3" w14:paraId="26DC715F"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584D41A6"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070B0FA9" w14:textId="77777777" w:rsidTr="00DC3828">
        <w:tc>
          <w:tcPr>
            <w:tcW w:w="10808" w:type="dxa"/>
            <w:gridSpan w:val="11"/>
            <w:tcBorders>
              <w:top w:val="single" w:sz="4" w:space="0" w:color="auto"/>
              <w:bottom w:val="single" w:sz="4" w:space="0" w:color="auto"/>
            </w:tcBorders>
            <w:shd w:val="clear" w:color="auto" w:fill="auto"/>
          </w:tcPr>
          <w:p w14:paraId="71F60AD9" w14:textId="77777777" w:rsidR="00052E80" w:rsidRPr="00BD13EC" w:rsidRDefault="006357FD" w:rsidP="00052E80">
            <w:pPr>
              <w:tabs>
                <w:tab w:val="left" w:pos="342"/>
                <w:tab w:val="right" w:pos="10620"/>
              </w:tabs>
              <w:rPr>
                <w:rFonts w:cs="Arial"/>
                <w:b/>
                <w:sz w:val="20"/>
                <w:szCs w:val="20"/>
              </w:rPr>
            </w:pPr>
            <w:r>
              <w:rPr>
                <w:rFonts w:cs="Arial"/>
                <w:b/>
                <w:sz w:val="20"/>
                <w:szCs w:val="20"/>
              </w:rPr>
              <w:t>N/A</w:t>
            </w:r>
          </w:p>
        </w:tc>
      </w:tr>
      <w:tr w:rsidR="00052E80" w:rsidRPr="002E1CA3" w14:paraId="0A09A120" w14:textId="77777777" w:rsidTr="00DC3828">
        <w:tc>
          <w:tcPr>
            <w:tcW w:w="10808" w:type="dxa"/>
            <w:gridSpan w:val="11"/>
            <w:tcBorders>
              <w:bottom w:val="single" w:sz="4" w:space="0" w:color="auto"/>
            </w:tcBorders>
            <w:shd w:val="clear" w:color="auto" w:fill="A6A6A6" w:themeFill="background1" w:themeFillShade="A6"/>
          </w:tcPr>
          <w:p w14:paraId="4E647E5E"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0050A9EE" w14:textId="77777777" w:rsidR="00052E80" w:rsidRPr="002E1CA3" w:rsidRDefault="00052E80" w:rsidP="00052E80">
            <w:pPr>
              <w:rPr>
                <w:b/>
                <w:sz w:val="16"/>
                <w:szCs w:val="16"/>
              </w:rPr>
            </w:pPr>
            <w:r w:rsidRPr="002E1CA3">
              <w:rPr>
                <w:b/>
                <w:sz w:val="16"/>
                <w:szCs w:val="16"/>
              </w:rPr>
              <w:t>EMPLOYEE’S STATEMENT:</w:t>
            </w:r>
          </w:p>
          <w:p w14:paraId="3193B168"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0132AC05" w14:textId="77777777" w:rsidTr="00DC3828">
        <w:tc>
          <w:tcPr>
            <w:tcW w:w="4611" w:type="dxa"/>
            <w:gridSpan w:val="5"/>
            <w:tcBorders>
              <w:bottom w:val="nil"/>
            </w:tcBorders>
          </w:tcPr>
          <w:p w14:paraId="2E770F4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2892220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092F934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29E50A01" w14:textId="77777777" w:rsidTr="00DC3828">
        <w:trPr>
          <w:trHeight w:val="477"/>
        </w:trPr>
        <w:tc>
          <w:tcPr>
            <w:tcW w:w="4611" w:type="dxa"/>
            <w:gridSpan w:val="5"/>
            <w:tcBorders>
              <w:top w:val="nil"/>
              <w:bottom w:val="single" w:sz="4" w:space="0" w:color="auto"/>
            </w:tcBorders>
            <w:vAlign w:val="center"/>
          </w:tcPr>
          <w:p w14:paraId="0FFDF464"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C955921"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2888F9D4" w14:textId="77777777" w:rsidR="00052E80" w:rsidRPr="002E1CA3" w:rsidRDefault="00052E80" w:rsidP="00052E80">
            <w:pPr>
              <w:rPr>
                <w:b/>
                <w:sz w:val="24"/>
                <w:szCs w:val="24"/>
              </w:rPr>
            </w:pPr>
          </w:p>
        </w:tc>
      </w:tr>
      <w:tr w:rsidR="00052E80" w:rsidRPr="002E1CA3" w14:paraId="08969089" w14:textId="77777777" w:rsidTr="00DC3828">
        <w:tc>
          <w:tcPr>
            <w:tcW w:w="10808" w:type="dxa"/>
            <w:gridSpan w:val="11"/>
            <w:shd w:val="clear" w:color="auto" w:fill="A6A6A6" w:themeFill="background1" w:themeFillShade="A6"/>
          </w:tcPr>
          <w:p w14:paraId="52BD8B3C" w14:textId="77777777" w:rsidR="00052E80" w:rsidRPr="002E1CA3" w:rsidRDefault="00052E80" w:rsidP="00052E80">
            <w:pPr>
              <w:rPr>
                <w:b/>
                <w:sz w:val="16"/>
                <w:szCs w:val="16"/>
              </w:rPr>
            </w:pPr>
            <w:r w:rsidRPr="002E1CA3">
              <w:rPr>
                <w:b/>
                <w:sz w:val="16"/>
                <w:szCs w:val="16"/>
              </w:rPr>
              <w:t>SUPERVISOR’S STATEMENT:</w:t>
            </w:r>
          </w:p>
          <w:p w14:paraId="4C936E33"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4EF7842D"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5414DD49" w14:textId="77777777" w:rsidTr="00DC3828">
        <w:tc>
          <w:tcPr>
            <w:tcW w:w="4611" w:type="dxa"/>
            <w:gridSpan w:val="5"/>
            <w:tcBorders>
              <w:bottom w:val="nil"/>
            </w:tcBorders>
          </w:tcPr>
          <w:p w14:paraId="1333979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D4C0C3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97DA44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6CBD7EE2" w14:textId="77777777" w:rsidTr="00DC3828">
        <w:trPr>
          <w:trHeight w:val="495"/>
        </w:trPr>
        <w:tc>
          <w:tcPr>
            <w:tcW w:w="4611" w:type="dxa"/>
            <w:gridSpan w:val="5"/>
            <w:tcBorders>
              <w:top w:val="nil"/>
              <w:bottom w:val="single" w:sz="4" w:space="0" w:color="auto"/>
            </w:tcBorders>
            <w:vAlign w:val="center"/>
          </w:tcPr>
          <w:p w14:paraId="3F7A2604"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C1141E4"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4D19AAE2" w14:textId="77777777" w:rsidR="00052E80" w:rsidRPr="002E1CA3" w:rsidRDefault="00052E80" w:rsidP="00052E80">
            <w:pPr>
              <w:rPr>
                <w:b/>
                <w:sz w:val="24"/>
                <w:szCs w:val="24"/>
              </w:rPr>
            </w:pPr>
          </w:p>
        </w:tc>
      </w:tr>
    </w:tbl>
    <w:p w14:paraId="3CB99BB0" w14:textId="77777777" w:rsidR="00C3080F" w:rsidRPr="002E1CA3" w:rsidRDefault="00DC3828">
      <w:r>
        <w:br w:type="textWrapping" w:clear="all"/>
      </w:r>
    </w:p>
    <w:sectPr w:rsidR="00C3080F" w:rsidRPr="002E1CA3" w:rsidSect="00F46DC4">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222D" w14:textId="77777777" w:rsidR="00F46DC4" w:rsidRDefault="00F46DC4" w:rsidP="00284F62">
      <w:pPr>
        <w:spacing w:after="0" w:line="240" w:lineRule="auto"/>
      </w:pPr>
      <w:r>
        <w:separator/>
      </w:r>
    </w:p>
  </w:endnote>
  <w:endnote w:type="continuationSeparator" w:id="0">
    <w:p w14:paraId="4F16189E" w14:textId="77777777" w:rsidR="00F46DC4" w:rsidRDefault="00F46DC4"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92B1" w14:textId="77777777" w:rsidR="00F46DC4" w:rsidRDefault="00F46DC4" w:rsidP="00284F62">
      <w:pPr>
        <w:spacing w:after="0" w:line="240" w:lineRule="auto"/>
      </w:pPr>
      <w:r>
        <w:separator/>
      </w:r>
    </w:p>
  </w:footnote>
  <w:footnote w:type="continuationSeparator" w:id="0">
    <w:p w14:paraId="6B7E14F1" w14:textId="77777777" w:rsidR="00F46DC4" w:rsidRDefault="00F46DC4"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4E4828C5"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369D947E"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5656780B"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46F5B09B"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4150E130" w14:textId="2BA2CACA"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F46DC4">
            <w:rPr>
              <w:rFonts w:asciiTheme="minorHAnsi" w:hAnsiTheme="minorHAnsi" w:cstheme="minorHAnsi"/>
              <w:b w:val="0"/>
              <w:noProof/>
              <w:sz w:val="20"/>
            </w:rPr>
            <w:t>318-001-5157-XXX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56DBBD30" w14:textId="77777777" w:rsidR="009C58AD" w:rsidRPr="002E1CA3" w:rsidRDefault="009C58AD" w:rsidP="009C58AD">
          <w:pPr>
            <w:pStyle w:val="Heading2"/>
            <w:jc w:val="left"/>
            <w:rPr>
              <w:rFonts w:asciiTheme="minorHAnsi" w:hAnsiTheme="minorHAnsi" w:cstheme="minorHAnsi"/>
              <w:b w:val="0"/>
              <w:sz w:val="20"/>
            </w:rPr>
          </w:pPr>
        </w:p>
      </w:tc>
    </w:tr>
  </w:tbl>
  <w:p w14:paraId="5A84FFCD"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17461"/>
    <w:rsid w:val="00035671"/>
    <w:rsid w:val="00036E93"/>
    <w:rsid w:val="00052E80"/>
    <w:rsid w:val="00056907"/>
    <w:rsid w:val="000C04E3"/>
    <w:rsid w:val="000E2954"/>
    <w:rsid w:val="000E2B63"/>
    <w:rsid w:val="00103B8C"/>
    <w:rsid w:val="0013195F"/>
    <w:rsid w:val="00141119"/>
    <w:rsid w:val="00161BB5"/>
    <w:rsid w:val="00161BEB"/>
    <w:rsid w:val="001648C7"/>
    <w:rsid w:val="00167A73"/>
    <w:rsid w:val="00177F01"/>
    <w:rsid w:val="00190A7B"/>
    <w:rsid w:val="001942DB"/>
    <w:rsid w:val="001A39AE"/>
    <w:rsid w:val="001C034E"/>
    <w:rsid w:val="001D4C5F"/>
    <w:rsid w:val="00205F73"/>
    <w:rsid w:val="00255857"/>
    <w:rsid w:val="00284F62"/>
    <w:rsid w:val="0028587A"/>
    <w:rsid w:val="00290E4F"/>
    <w:rsid w:val="002D590C"/>
    <w:rsid w:val="002E1CA3"/>
    <w:rsid w:val="002E6DD9"/>
    <w:rsid w:val="002E736C"/>
    <w:rsid w:val="0030076B"/>
    <w:rsid w:val="0033013B"/>
    <w:rsid w:val="003309EA"/>
    <w:rsid w:val="00362DEC"/>
    <w:rsid w:val="003757E8"/>
    <w:rsid w:val="0038762A"/>
    <w:rsid w:val="003D3520"/>
    <w:rsid w:val="003D4110"/>
    <w:rsid w:val="003F0502"/>
    <w:rsid w:val="00401674"/>
    <w:rsid w:val="004120A7"/>
    <w:rsid w:val="00425E07"/>
    <w:rsid w:val="00441B17"/>
    <w:rsid w:val="00457032"/>
    <w:rsid w:val="00474A5B"/>
    <w:rsid w:val="004D7D9E"/>
    <w:rsid w:val="00503BB5"/>
    <w:rsid w:val="005354F5"/>
    <w:rsid w:val="00540FCF"/>
    <w:rsid w:val="00560FD9"/>
    <w:rsid w:val="00571670"/>
    <w:rsid w:val="005943C7"/>
    <w:rsid w:val="005A1BC8"/>
    <w:rsid w:val="005C5EDD"/>
    <w:rsid w:val="00617B5A"/>
    <w:rsid w:val="00631EC1"/>
    <w:rsid w:val="00632FF7"/>
    <w:rsid w:val="006357FD"/>
    <w:rsid w:val="00664D18"/>
    <w:rsid w:val="00714109"/>
    <w:rsid w:val="00762CE0"/>
    <w:rsid w:val="007B2B75"/>
    <w:rsid w:val="007B6B3F"/>
    <w:rsid w:val="007E38F4"/>
    <w:rsid w:val="00806168"/>
    <w:rsid w:val="00824827"/>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B04929"/>
    <w:rsid w:val="00B748AD"/>
    <w:rsid w:val="00B92585"/>
    <w:rsid w:val="00BA3667"/>
    <w:rsid w:val="00BC4C38"/>
    <w:rsid w:val="00BD13EC"/>
    <w:rsid w:val="00BE0148"/>
    <w:rsid w:val="00C3080F"/>
    <w:rsid w:val="00C61078"/>
    <w:rsid w:val="00C75C8C"/>
    <w:rsid w:val="00C77A05"/>
    <w:rsid w:val="00C953C5"/>
    <w:rsid w:val="00CD0D6A"/>
    <w:rsid w:val="00D757C0"/>
    <w:rsid w:val="00D8550B"/>
    <w:rsid w:val="00DB07DD"/>
    <w:rsid w:val="00DC3828"/>
    <w:rsid w:val="00DD3A41"/>
    <w:rsid w:val="00DE3F50"/>
    <w:rsid w:val="00E1729D"/>
    <w:rsid w:val="00E317B9"/>
    <w:rsid w:val="00F0293B"/>
    <w:rsid w:val="00F20EC9"/>
    <w:rsid w:val="00F32283"/>
    <w:rsid w:val="00F46AF2"/>
    <w:rsid w:val="00F46DC4"/>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73078"/>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3A7FC8"/>
    <w:rsid w:val="00546D2C"/>
    <w:rsid w:val="00552F93"/>
    <w:rsid w:val="00796B80"/>
    <w:rsid w:val="009C4D11"/>
    <w:rsid w:val="009F6D2A"/>
    <w:rsid w:val="00B513C1"/>
    <w:rsid w:val="00DE0EE5"/>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Litovchenko, Stacie</cp:lastModifiedBy>
  <cp:revision>1</cp:revision>
  <cp:lastPrinted>2022-11-10T19:16:00Z</cp:lastPrinted>
  <dcterms:created xsi:type="dcterms:W3CDTF">2024-03-08T21:49:00Z</dcterms:created>
  <dcterms:modified xsi:type="dcterms:W3CDTF">2024-03-08T21:53:00Z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