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1E4A42"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5152A8">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5152A8">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p>
          <w:p w:rsidR="00CB5A8A" w:rsidRPr="0018507D" w:rsidRDefault="00CB5A8A" w:rsidP="0014231E">
            <w:pPr>
              <w:tabs>
                <w:tab w:val="right" w:pos="10620"/>
              </w:tabs>
              <w:rPr>
                <w:rFonts w:ascii="Arial" w:hAnsi="Arial" w:cs="Arial"/>
              </w:rPr>
            </w:pPr>
            <w:r>
              <w:rPr>
                <w:rFonts w:ascii="Arial" w:hAnsi="Arial" w:cs="Arial"/>
              </w:rPr>
              <w:fldChar w:fldCharType="begin">
                <w:ffData>
                  <w:name w:val="Text3"/>
                  <w:enabled/>
                  <w:calcOnExit w:val="0"/>
                  <w:textInput>
                    <w:default w:val="18"/>
                    <w:maxLength w:val="2"/>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18</w:t>
            </w:r>
            <w:r>
              <w:rPr>
                <w:rFonts w:ascii="Arial" w:hAnsi="Arial" w:cs="Arial"/>
              </w:rPr>
              <w:fldChar w:fldCharType="end"/>
            </w:r>
            <w:bookmarkEnd w:id="0"/>
            <w:r>
              <w:rPr>
                <w:rFonts w:ascii="Arial" w:hAnsi="Arial" w:cs="Arial"/>
              </w:rPr>
              <w:t>-</w:t>
            </w:r>
            <w:r w:rsidR="003D1E6B">
              <w:rPr>
                <w:rFonts w:ascii="Arial" w:hAnsi="Arial" w:cs="Arial"/>
              </w:rPr>
              <w:t>0</w:t>
            </w:r>
            <w:r w:rsidR="005152A8">
              <w:rPr>
                <w:rFonts w:ascii="Arial" w:hAnsi="Arial" w:cs="Arial"/>
              </w:rPr>
              <w:t>92</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5152A8">
              <w:rPr>
                <w:rFonts w:ascii="Arial" w:hAnsi="Arial" w:cs="Arial"/>
              </w:rPr>
              <w:t>410-1402-016</w:t>
            </w:r>
          </w:p>
        </w:tc>
        <w:tc>
          <w:tcPr>
            <w:tcW w:w="3672" w:type="dxa"/>
            <w:gridSpan w:val="2"/>
            <w:tcBorders>
              <w:top w:val="nil"/>
            </w:tcBorders>
          </w:tcPr>
          <w:p w:rsidR="00CB5A8A" w:rsidRPr="0018507D" w:rsidRDefault="005152A8">
            <w:pPr>
              <w:rPr>
                <w:rFonts w:ascii="Arial" w:hAnsi="Arial" w:cs="Arial"/>
              </w:rPr>
            </w:pPr>
            <w:r>
              <w:rPr>
                <w:rFonts w:ascii="Arial" w:hAnsi="Arial" w:cs="Arial"/>
              </w:rPr>
              <w:t>Information Technology Spec. I</w:t>
            </w:r>
          </w:p>
        </w:tc>
        <w:tc>
          <w:tcPr>
            <w:tcW w:w="3672" w:type="dxa"/>
            <w:gridSpan w:val="2"/>
            <w:tcBorders>
              <w:top w:val="nil"/>
            </w:tcBorders>
          </w:tcPr>
          <w:p w:rsidR="00CB5A8A" w:rsidRPr="0018507D" w:rsidRDefault="005152A8">
            <w:pPr>
              <w:rPr>
                <w:rFonts w:ascii="Arial" w:hAnsi="Arial" w:cs="Arial"/>
              </w:rPr>
            </w:pPr>
            <w:r>
              <w:rPr>
                <w:rFonts w:ascii="Arial" w:hAnsi="Arial" w:cs="Arial"/>
              </w:rPr>
              <w:t>Infrastructure Engineer</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5152A8">
            <w:pPr>
              <w:rPr>
                <w:rFonts w:ascii="Arial" w:hAnsi="Arial" w:cs="Arial"/>
              </w:rPr>
            </w:pPr>
            <w:r>
              <w:rPr>
                <w:rFonts w:ascii="Arial" w:hAnsi="Arial" w:cs="Arial"/>
              </w:rPr>
              <w:t>Information Technology Division</w:t>
            </w:r>
          </w:p>
        </w:tc>
        <w:tc>
          <w:tcPr>
            <w:tcW w:w="3672" w:type="dxa"/>
            <w:gridSpan w:val="2"/>
            <w:tcBorders>
              <w:top w:val="nil"/>
            </w:tcBorders>
          </w:tcPr>
          <w:p w:rsidR="00CB5A8A" w:rsidRPr="0018507D" w:rsidRDefault="005152A8">
            <w:pPr>
              <w:rPr>
                <w:rFonts w:ascii="Arial" w:hAnsi="Arial" w:cs="Arial"/>
              </w:rPr>
            </w:pPr>
            <w:r>
              <w:rPr>
                <w:rFonts w:ascii="Arial" w:hAnsi="Arial" w:cs="Arial"/>
              </w:rPr>
              <w:t>Enterprise Services Branch</w:t>
            </w:r>
          </w:p>
        </w:tc>
        <w:tc>
          <w:tcPr>
            <w:tcW w:w="1836" w:type="dxa"/>
            <w:tcBorders>
              <w:top w:val="nil"/>
            </w:tcBorders>
          </w:tcPr>
          <w:p w:rsidR="00CB5A8A" w:rsidRPr="0018507D" w:rsidRDefault="003D1E6B">
            <w:pPr>
              <w:rPr>
                <w:rFonts w:ascii="Arial" w:hAnsi="Arial" w:cs="Arial"/>
              </w:rPr>
            </w:pPr>
            <w:r>
              <w:rPr>
                <w:rFonts w:ascii="Arial" w:hAnsi="Arial" w:cs="Arial"/>
              </w:rPr>
              <w:t>R</w:t>
            </w:r>
            <w:r w:rsidR="005152A8">
              <w:rPr>
                <w:rFonts w:ascii="Arial" w:hAnsi="Arial" w:cs="Arial"/>
              </w:rPr>
              <w:t>01</w:t>
            </w:r>
          </w:p>
        </w:tc>
        <w:tc>
          <w:tcPr>
            <w:tcW w:w="1836" w:type="dxa"/>
            <w:tcBorders>
              <w:top w:val="nil"/>
            </w:tcBorders>
          </w:tcPr>
          <w:p w:rsidR="00CB5A8A" w:rsidRPr="0018507D" w:rsidRDefault="005152A8">
            <w:pPr>
              <w:rPr>
                <w:rFonts w:ascii="Arial" w:hAnsi="Arial" w:cs="Arial"/>
              </w:rPr>
            </w:pPr>
            <w:r>
              <w:rPr>
                <w:rFonts w:ascii="Arial" w:hAnsi="Arial" w:cs="Arial"/>
              </w:rPr>
              <w:t>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p w:rsidR="00DA5165" w:rsidRDefault="00DA5165">
      <w:pPr>
        <w:rPr>
          <w:rFonts w:ascii="Arial" w:hAnsi="Arial" w:cs="Arial"/>
          <w:sz w:val="24"/>
          <w:szCs w:val="24"/>
        </w:rPr>
      </w:pPr>
      <w:r>
        <w:rPr>
          <w:rFonts w:ascii="Arial" w:hAnsi="Arial" w:cs="Arial"/>
          <w:sz w:val="24"/>
          <w:szCs w:val="24"/>
        </w:rPr>
        <w:br w:type="page"/>
      </w:r>
    </w:p>
    <w:p w:rsidR="00193A65" w:rsidRDefault="00193A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18720E" w:rsidP="0018720E">
            <w:pPr>
              <w:tabs>
                <w:tab w:val="right" w:pos="10620"/>
              </w:tabs>
              <w:rPr>
                <w:rFonts w:ascii="Arial" w:eastAsia="Times New Roman" w:hAnsi="Arial" w:cs="Times New Roman"/>
                <w:sz w:val="20"/>
                <w:szCs w:val="20"/>
              </w:rPr>
            </w:pPr>
            <w:r w:rsidRPr="0018720E">
              <w:rPr>
                <w:rFonts w:ascii="Arial" w:eastAsia="Times New Roman" w:hAnsi="Arial" w:cs="Times New Roman"/>
                <w:sz w:val="16"/>
                <w:szCs w:val="20"/>
              </w:rPr>
              <w:br w:type="page"/>
              <w:t>STATE OF CALIFORNIA</w:t>
            </w:r>
            <w:r w:rsidRPr="0018720E">
              <w:rPr>
                <w:rFonts w:ascii="Arial" w:eastAsia="Times New Roman" w:hAnsi="Arial" w:cs="Times New Roman"/>
                <w:sz w:val="16"/>
                <w:szCs w:val="20"/>
              </w:rPr>
              <w:tab/>
            </w:r>
            <w:r w:rsidRPr="0018720E">
              <w:rPr>
                <w:rFonts w:ascii="Arial" w:eastAsia="Times New Roman" w:hAnsi="Arial" w:cs="Times New Roman"/>
                <w:sz w:val="20"/>
                <w:szCs w:val="20"/>
              </w:rPr>
              <w:t>California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9425C">
              <w:rPr>
                <w:rFonts w:ascii="Arial" w:eastAsia="Times New Roman" w:hAnsi="Arial" w:cs="Times New Roman"/>
                <w:b/>
                <w:szCs w:val="20"/>
              </w:rPr>
              <w:t>18-</w:t>
            </w:r>
            <w:r w:rsidR="008B373D">
              <w:rPr>
                <w:rFonts w:ascii="Arial" w:eastAsia="Times New Roman" w:hAnsi="Arial" w:cs="Times New Roman"/>
                <w:b/>
                <w:szCs w:val="20"/>
              </w:rPr>
              <w:t>0</w:t>
            </w:r>
            <w:r w:rsidR="00A10F23">
              <w:rPr>
                <w:rFonts w:ascii="Arial" w:eastAsia="Times New Roman" w:hAnsi="Arial" w:cs="Times New Roman"/>
                <w:b/>
                <w:szCs w:val="20"/>
              </w:rPr>
              <w:t>92</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5152A8" w:rsidRPr="005152A8" w:rsidRDefault="005152A8" w:rsidP="005152A8">
            <w:pPr>
              <w:rPr>
                <w:rFonts w:cs="Tahoma"/>
                <w:color w:val="000000"/>
              </w:rPr>
            </w:pPr>
            <w:r w:rsidRPr="005152A8">
              <w:rPr>
                <w:rFonts w:ascii="Arial" w:hAnsi="Arial" w:cs="Arial"/>
                <w:color w:val="333333"/>
                <w:shd w:val="clear" w:color="auto" w:fill="FFFFFF"/>
                <w:lang w:val="en"/>
              </w:rPr>
              <w:t>This position is in CalVCB's Information Technology</w:t>
            </w:r>
            <w:r w:rsidR="00D110E0">
              <w:rPr>
                <w:rFonts w:ascii="Arial" w:hAnsi="Arial" w:cs="Arial"/>
                <w:color w:val="333333"/>
                <w:shd w:val="clear" w:color="auto" w:fill="FFFFFF"/>
                <w:lang w:val="en"/>
              </w:rPr>
              <w:t xml:space="preserve"> Division (ITD). In ITD, you will </w:t>
            </w:r>
            <w:r w:rsidRPr="005152A8">
              <w:rPr>
                <w:rFonts w:ascii="Arial" w:hAnsi="Arial" w:cs="Arial"/>
                <w:color w:val="333333"/>
                <w:shd w:val="clear" w:color="auto" w:fill="FFFFFF"/>
                <w:lang w:val="en"/>
              </w:rPr>
              <w:t>be working with a dynamic group of co</w:t>
            </w:r>
            <w:r w:rsidR="00A0191F">
              <w:rPr>
                <w:rFonts w:ascii="Arial" w:hAnsi="Arial" w:cs="Arial"/>
                <w:color w:val="333333"/>
                <w:shd w:val="clear" w:color="auto" w:fill="FFFFFF"/>
                <w:lang w:val="en"/>
              </w:rPr>
              <w:t>-</w:t>
            </w:r>
            <w:r w:rsidRPr="005152A8">
              <w:rPr>
                <w:rFonts w:ascii="Arial" w:hAnsi="Arial" w:cs="Arial"/>
                <w:color w:val="333333"/>
                <w:shd w:val="clear" w:color="auto" w:fill="FFFFFF"/>
                <w:lang w:val="en"/>
              </w:rPr>
              <w:t>workers using industry-leading technologies within a creative and supportive work culture that accommodates a healthy work-life balance.  We believe in developing our staff by providing growth through learning and leadership opportunities. </w:t>
            </w:r>
            <w:r w:rsidR="00D110E0">
              <w:rPr>
                <w:rFonts w:ascii="Arial" w:hAnsi="Arial" w:cs="Arial"/>
                <w:color w:val="333333"/>
                <w:shd w:val="clear" w:color="auto" w:fill="FFFFFF"/>
              </w:rPr>
              <w:t>If you are</w:t>
            </w:r>
            <w:r w:rsidRPr="005152A8">
              <w:rPr>
                <w:rFonts w:ascii="Arial" w:hAnsi="Arial" w:cs="Arial"/>
                <w:color w:val="333333"/>
                <w:shd w:val="clear" w:color="auto" w:fill="FFFFFF"/>
              </w:rPr>
              <w:t xml:space="preserve"> ready to take the next step in your career, we encourage you to become a part of our team.</w:t>
            </w:r>
          </w:p>
          <w:p w:rsidR="004616C6" w:rsidRPr="00121BF1" w:rsidRDefault="005152A8" w:rsidP="005152A8">
            <w:pPr>
              <w:tabs>
                <w:tab w:val="right" w:pos="10620"/>
              </w:tabs>
              <w:spacing w:before="120" w:after="180"/>
              <w:rPr>
                <w:rFonts w:ascii="Arial" w:hAnsi="Arial" w:cs="Arial"/>
              </w:rPr>
            </w:pPr>
            <w:r w:rsidRPr="005152A8">
              <w:rPr>
                <w:rFonts w:ascii="Arial" w:eastAsia="Times New Roman" w:hAnsi="Arial" w:cs="Times New Roman"/>
              </w:rPr>
              <w:t xml:space="preserve">We are seeking an Information Technology Specialist I to serve in the Infrastructure Section to enhance and support the CalVCB’s hardware environment. </w:t>
            </w:r>
            <w:r w:rsidRPr="005152A8">
              <w:rPr>
                <w:rFonts w:ascii="Arial" w:eastAsia="Times New Roman" w:hAnsi="Arial" w:cs="Arial"/>
              </w:rPr>
              <w:t>The incumbent will provide technical assistance for the design, development, documentation, implementation, and maintenance of infrastructure systems.</w:t>
            </w:r>
            <w:r w:rsidRPr="005152A8">
              <w:rPr>
                <w:rFonts w:ascii="Arial" w:eastAsia="Times New Roman" w:hAnsi="Arial" w:cs="Times New Roman"/>
              </w:rPr>
              <w:t xml:space="preserve">  This position will primarily function within the System Engineering domain.</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5152A8" w:rsidRPr="005152A8" w:rsidRDefault="005152A8" w:rsidP="005152A8">
            <w:pPr>
              <w:spacing w:before="120" w:after="120"/>
              <w:rPr>
                <w:rFonts w:ascii="Arial" w:eastAsia="Times New Roman" w:hAnsi="Arial" w:cs="Arial"/>
              </w:rPr>
            </w:pPr>
            <w:r w:rsidRPr="005152A8">
              <w:rPr>
                <w:rFonts w:ascii="Arial" w:eastAsia="Times New Roman" w:hAnsi="Arial" w:cs="Arial"/>
              </w:rPr>
              <w:t xml:space="preserve">The performance of duties </w:t>
            </w:r>
            <w:proofErr w:type="gramStart"/>
            <w:r w:rsidR="00A0191F">
              <w:rPr>
                <w:rFonts w:ascii="Arial" w:eastAsia="Times New Roman" w:hAnsi="Arial" w:cs="Arial"/>
              </w:rPr>
              <w:t xml:space="preserve">will be </w:t>
            </w:r>
            <w:r w:rsidRPr="005152A8">
              <w:rPr>
                <w:rFonts w:ascii="Arial" w:eastAsia="Times New Roman" w:hAnsi="Arial" w:cs="Arial"/>
              </w:rPr>
              <w:t>accomplished</w:t>
            </w:r>
            <w:proofErr w:type="gramEnd"/>
            <w:r w:rsidRPr="005152A8">
              <w:rPr>
                <w:rFonts w:ascii="Arial" w:eastAsia="Times New Roman" w:hAnsi="Arial" w:cs="Arial"/>
              </w:rPr>
              <w:t xml:space="preserve"> in accordance with CalVCB policies and in compliance with the established rules and standards governing the program. Candidates must have the ability to perform the following essential functions with or without reasonable accommodations. </w:t>
            </w:r>
          </w:p>
          <w:p w:rsidR="005152A8" w:rsidRPr="005152A8" w:rsidRDefault="005152A8" w:rsidP="005152A8">
            <w:pPr>
              <w:spacing w:before="120" w:after="120"/>
              <w:rPr>
                <w:rFonts w:ascii="Arial" w:eastAsia="Times New Roman" w:hAnsi="Arial" w:cs="Arial"/>
                <w:b/>
              </w:rPr>
            </w:pPr>
            <w:r w:rsidRPr="005152A8">
              <w:rPr>
                <w:rFonts w:ascii="Arial" w:eastAsia="Times New Roman" w:hAnsi="Arial" w:cs="Arial"/>
                <w:b/>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121BF1" w:rsidRPr="00CE04A1" w:rsidRDefault="00121BF1" w:rsidP="00121BF1">
            <w:pPr>
              <w:tabs>
                <w:tab w:val="left" w:pos="342"/>
                <w:tab w:val="right" w:pos="10620"/>
              </w:tabs>
              <w:rPr>
                <w:rFonts w:ascii="Arial" w:eastAsia="Times New Roman" w:hAnsi="Arial" w:cs="Arial"/>
              </w:rPr>
            </w:pPr>
          </w:p>
        </w:tc>
      </w:tr>
      <w:tr w:rsidR="00CE04A1" w:rsidTr="001E4A42">
        <w:trPr>
          <w:trHeight w:val="1700"/>
        </w:trPr>
        <w:tc>
          <w:tcPr>
            <w:tcW w:w="1795" w:type="dxa"/>
          </w:tcPr>
          <w:p w:rsidR="0014231E" w:rsidRPr="00121BF1" w:rsidRDefault="0014231E" w:rsidP="0014231E">
            <w:pPr>
              <w:spacing w:before="120"/>
              <w:rPr>
                <w:rFonts w:ascii="Arial" w:hAnsi="Arial" w:cs="Arial"/>
              </w:rPr>
            </w:pPr>
          </w:p>
          <w:p w:rsidR="00747F4C" w:rsidRPr="00121BF1" w:rsidRDefault="005152A8" w:rsidP="00747F4C">
            <w:pPr>
              <w:spacing w:before="240"/>
              <w:jc w:val="center"/>
              <w:rPr>
                <w:rFonts w:ascii="Arial" w:hAnsi="Arial" w:cs="Arial"/>
              </w:rPr>
            </w:pPr>
            <w:r>
              <w:rPr>
                <w:rFonts w:ascii="Arial" w:hAnsi="Arial" w:cs="Arial"/>
              </w:rPr>
              <w:t>40</w:t>
            </w:r>
            <w:r w:rsidR="00121BF1" w:rsidRPr="00121BF1">
              <w:rPr>
                <w:rFonts w:ascii="Arial" w:hAnsi="Arial" w:cs="Arial"/>
              </w:rPr>
              <w:t>%</w:t>
            </w: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Pr="00121BF1" w:rsidRDefault="00121BF1" w:rsidP="00747F4C">
            <w:pPr>
              <w:spacing w:before="240"/>
              <w:jc w:val="center"/>
              <w:rPr>
                <w:rFonts w:ascii="Arial" w:hAnsi="Arial" w:cs="Arial"/>
              </w:rPr>
            </w:pPr>
          </w:p>
          <w:p w:rsidR="00121BF1" w:rsidRDefault="005152A8" w:rsidP="00747F4C">
            <w:pPr>
              <w:spacing w:before="240"/>
              <w:jc w:val="center"/>
              <w:rPr>
                <w:rFonts w:ascii="Arial" w:hAnsi="Arial" w:cs="Arial"/>
              </w:rPr>
            </w:pPr>
            <w:r>
              <w:rPr>
                <w:rFonts w:ascii="Arial" w:hAnsi="Arial" w:cs="Arial"/>
              </w:rPr>
              <w:t>3</w:t>
            </w:r>
            <w:r w:rsidR="00121BF1" w:rsidRPr="00121BF1">
              <w:rPr>
                <w:rFonts w:ascii="Arial" w:hAnsi="Arial" w:cs="Arial"/>
              </w:rPr>
              <w:t>0%</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5152A8" w:rsidP="00747F4C">
            <w:pPr>
              <w:spacing w:before="240"/>
              <w:jc w:val="center"/>
              <w:rPr>
                <w:rFonts w:ascii="Arial" w:hAnsi="Arial" w:cs="Arial"/>
              </w:rPr>
            </w:pPr>
            <w:r>
              <w:rPr>
                <w:rFonts w:ascii="Arial" w:hAnsi="Arial" w:cs="Arial"/>
              </w:rPr>
              <w:t>25</w:t>
            </w:r>
            <w:r w:rsidR="00121BF1">
              <w:rPr>
                <w:rFonts w:ascii="Arial" w:hAnsi="Arial" w:cs="Arial"/>
              </w:rPr>
              <w:t>%</w:t>
            </w: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121BF1" w:rsidP="00747F4C">
            <w:pPr>
              <w:spacing w:before="240"/>
              <w:jc w:val="center"/>
              <w:rPr>
                <w:rFonts w:ascii="Arial" w:hAnsi="Arial" w:cs="Arial"/>
              </w:rPr>
            </w:pPr>
          </w:p>
          <w:p w:rsidR="00121BF1" w:rsidRDefault="005152A8" w:rsidP="00121BF1">
            <w:pPr>
              <w:spacing w:before="240"/>
              <w:jc w:val="center"/>
              <w:rPr>
                <w:rFonts w:ascii="Arial" w:hAnsi="Arial" w:cs="Arial"/>
              </w:rPr>
            </w:pPr>
            <w:r>
              <w:rPr>
                <w:rFonts w:ascii="Arial" w:hAnsi="Arial" w:cs="Arial"/>
              </w:rPr>
              <w:t>5</w:t>
            </w:r>
            <w:r w:rsidR="00121BF1">
              <w:rPr>
                <w:rFonts w:ascii="Arial" w:hAnsi="Arial" w:cs="Arial"/>
              </w:rPr>
              <w:t>%</w:t>
            </w:r>
          </w:p>
          <w:p w:rsidR="00121BF1" w:rsidRDefault="00121BF1" w:rsidP="00121BF1">
            <w:pPr>
              <w:spacing w:before="240"/>
              <w:jc w:val="center"/>
              <w:rPr>
                <w:rFonts w:ascii="Arial" w:hAnsi="Arial" w:cs="Arial"/>
              </w:rPr>
            </w:pPr>
          </w:p>
          <w:p w:rsidR="00121BF1" w:rsidRPr="00121BF1" w:rsidRDefault="00121BF1" w:rsidP="00121BF1">
            <w:pPr>
              <w:spacing w:before="240"/>
              <w:jc w:val="center"/>
              <w:rPr>
                <w:rFonts w:ascii="Arial" w:hAnsi="Arial" w:cs="Arial"/>
              </w:rPr>
            </w:pPr>
          </w:p>
        </w:tc>
        <w:tc>
          <w:tcPr>
            <w:tcW w:w="9221" w:type="dxa"/>
            <w:gridSpan w:val="2"/>
          </w:tcPr>
          <w:p w:rsidR="00121BF1" w:rsidRPr="00121BF1" w:rsidRDefault="00121BF1" w:rsidP="00121BF1">
            <w:pPr>
              <w:tabs>
                <w:tab w:val="left" w:pos="342"/>
                <w:tab w:val="right" w:pos="10620"/>
              </w:tabs>
              <w:rPr>
                <w:rFonts w:ascii="Arial" w:hAnsi="Arial" w:cs="Arial"/>
                <w:b/>
                <w:bCs/>
              </w:rPr>
            </w:pPr>
          </w:p>
          <w:p w:rsidR="00121BF1" w:rsidRPr="00121BF1" w:rsidRDefault="00121BF1" w:rsidP="00121BF1">
            <w:pPr>
              <w:tabs>
                <w:tab w:val="left" w:pos="342"/>
                <w:tab w:val="right" w:pos="10620"/>
              </w:tabs>
              <w:rPr>
                <w:rFonts w:ascii="Arial" w:hAnsi="Arial" w:cs="Arial"/>
              </w:rPr>
            </w:pPr>
            <w:r w:rsidRPr="00121BF1">
              <w:rPr>
                <w:rFonts w:ascii="Arial" w:hAnsi="Arial" w:cs="Arial"/>
                <w:b/>
                <w:bCs/>
                <w:u w:val="single"/>
              </w:rPr>
              <w:t>ESSENTIAL FUNCTIONS</w:t>
            </w:r>
            <w:r w:rsidRPr="00121BF1">
              <w:rPr>
                <w:rFonts w:ascii="Arial" w:hAnsi="Arial" w:cs="Arial"/>
                <w:b/>
                <w:bCs/>
              </w:rPr>
              <w:t>:</w:t>
            </w:r>
          </w:p>
          <w:p w:rsidR="005152A8" w:rsidRPr="005152A8" w:rsidRDefault="005152A8" w:rsidP="005152A8">
            <w:pPr>
              <w:pStyle w:val="BodyText"/>
              <w:rPr>
                <w:rFonts w:ascii="Arial" w:hAnsi="Arial" w:cs="Arial"/>
              </w:rPr>
            </w:pPr>
            <w:r w:rsidRPr="005152A8">
              <w:rPr>
                <w:rFonts w:ascii="Arial" w:hAnsi="Arial" w:cs="Arial"/>
              </w:rPr>
              <w:t>The incumbent is responsible for managing all aspects of CalVCB’s virtualized Microsoft Windows infrastructure and will provide support for mission critical systems utilizing VMware virtualization technology. Manage Microsoft products including Windows Server, DNS, DHCP</w:t>
            </w:r>
            <w:r w:rsidR="00A0191F">
              <w:rPr>
                <w:rFonts w:ascii="Arial" w:hAnsi="Arial" w:cs="Arial"/>
              </w:rPr>
              <w:t>,</w:t>
            </w:r>
            <w:r w:rsidRPr="005152A8">
              <w:rPr>
                <w:rFonts w:ascii="Arial" w:hAnsi="Arial" w:cs="Arial"/>
              </w:rPr>
              <w:t xml:space="preserve"> and Active Directory. Monitor and optimize server and storage performance. Support the instal</w:t>
            </w:r>
            <w:r w:rsidR="00A0191F">
              <w:rPr>
                <w:rFonts w:ascii="Arial" w:hAnsi="Arial" w:cs="Arial"/>
              </w:rPr>
              <w:t>lation and upgrades of CalVCB</w:t>
            </w:r>
            <w:r w:rsidRPr="005152A8">
              <w:rPr>
                <w:rFonts w:ascii="Arial" w:hAnsi="Arial" w:cs="Arial"/>
              </w:rPr>
              <w:t>’s hardware platforms.  Resolve incidents in compliance with service level agreements. The incumbent is responsible for acting as a subject matter expert and for providing timely status updates to management and team leads on a regular basis.</w:t>
            </w:r>
          </w:p>
          <w:p w:rsidR="00121BF1" w:rsidRPr="005152A8" w:rsidRDefault="00121BF1" w:rsidP="003D1E6B">
            <w:pPr>
              <w:pStyle w:val="BodyTextIndent"/>
              <w:spacing w:after="0"/>
              <w:ind w:left="0"/>
              <w:rPr>
                <w:rFonts w:ascii="Arial" w:hAnsi="Arial" w:cs="Arial"/>
              </w:rPr>
            </w:pPr>
          </w:p>
          <w:p w:rsidR="005152A8" w:rsidRPr="005152A8" w:rsidRDefault="005152A8" w:rsidP="005152A8">
            <w:pPr>
              <w:tabs>
                <w:tab w:val="left" w:pos="342"/>
                <w:tab w:val="right" w:pos="10620"/>
              </w:tabs>
            </w:pPr>
            <w:r w:rsidRPr="005152A8">
              <w:rPr>
                <w:rFonts w:ascii="Arial" w:hAnsi="Arial" w:cs="Arial"/>
              </w:rPr>
              <w:t>Act as a leader and/or contributing team member on diverse projects. Serve as a lead technical resource for projects, review and provide solutions for technical issues, and actively meet projected time lines and critical deadlines.  Review technical material, new technologies, and participate in feasibility and benchmarking studies. Keep current on statewide technology initiatives and be familiar with industry best practices.</w:t>
            </w:r>
          </w:p>
          <w:p w:rsidR="005152A8" w:rsidRDefault="005152A8" w:rsidP="003D1E6B">
            <w:pPr>
              <w:pStyle w:val="BodyTextIndent"/>
              <w:spacing w:after="0"/>
              <w:ind w:left="0"/>
              <w:rPr>
                <w:rFonts w:ascii="Arial" w:hAnsi="Arial" w:cs="Arial"/>
              </w:rPr>
            </w:pPr>
          </w:p>
          <w:p w:rsidR="005152A8" w:rsidRPr="00A0191F" w:rsidRDefault="005152A8" w:rsidP="005152A8">
            <w:pPr>
              <w:tabs>
                <w:tab w:val="left" w:pos="342"/>
                <w:tab w:val="right" w:pos="10620"/>
              </w:tabs>
              <w:rPr>
                <w:rFonts w:ascii="Arial" w:hAnsi="Arial" w:cs="Arial"/>
              </w:rPr>
            </w:pPr>
            <w:r w:rsidRPr="00A0191F">
              <w:rPr>
                <w:rFonts w:ascii="Arial" w:hAnsi="Arial" w:cs="Arial"/>
              </w:rPr>
              <w:t xml:space="preserve">Perform backup/recovery tasks as required for CalVCB’s network devices.  Perform infrastructure disaster recovery testing and maintain the supporting documentation. Apply security, operating system, and software patches and updates. Create and maintain documentation of business processes. Follow change management processes; ensure proper testing for system or application upgrades, patches, routine maintenance, and emergency changes.  Supporting information technology (IT) telecommunications and computing environments.  Communicate with staff to ensure notifications </w:t>
            </w:r>
            <w:proofErr w:type="gramStart"/>
            <w:r w:rsidRPr="00A0191F">
              <w:rPr>
                <w:rFonts w:ascii="Arial" w:hAnsi="Arial" w:cs="Arial"/>
              </w:rPr>
              <w:t>are made</w:t>
            </w:r>
            <w:proofErr w:type="gramEnd"/>
            <w:r w:rsidRPr="00A0191F">
              <w:rPr>
                <w:rFonts w:ascii="Arial" w:hAnsi="Arial" w:cs="Arial"/>
              </w:rPr>
              <w:t xml:space="preserve"> to potentially affected users and stakeholders.</w:t>
            </w:r>
          </w:p>
          <w:p w:rsidR="005152A8" w:rsidRPr="00A0191F" w:rsidRDefault="005152A8" w:rsidP="005152A8">
            <w:pPr>
              <w:tabs>
                <w:tab w:val="left" w:pos="342"/>
                <w:tab w:val="right" w:pos="10620"/>
              </w:tabs>
              <w:rPr>
                <w:rFonts w:ascii="Arial" w:hAnsi="Arial" w:cs="Arial"/>
              </w:rPr>
            </w:pPr>
          </w:p>
          <w:p w:rsidR="005152A8" w:rsidRPr="00A0191F" w:rsidRDefault="005152A8" w:rsidP="005152A8">
            <w:pPr>
              <w:rPr>
                <w:rFonts w:ascii="Arial" w:hAnsi="Arial" w:cs="Arial"/>
              </w:rPr>
            </w:pPr>
            <w:r w:rsidRPr="00A0191F">
              <w:rPr>
                <w:rFonts w:ascii="Arial" w:hAnsi="Arial" w:cs="Arial"/>
              </w:rPr>
              <w:t>Plan infrastructure maintenance and upgrades.  Work with vendors to establish timelines for new services and solutions, or the discontinuation of services.  Routinely review and ensure system health, report findings to management and team members; recommend resolutions for issues.  Proactively analyze processes for effectiveness and improvement.  Other duties as assigned.</w:t>
            </w:r>
          </w:p>
          <w:p w:rsidR="005152A8" w:rsidRPr="00121BF1" w:rsidRDefault="005152A8" w:rsidP="003D1E6B">
            <w:pPr>
              <w:pStyle w:val="BodyTextIndent"/>
              <w:spacing w:after="0"/>
              <w:ind w:left="0"/>
              <w:rPr>
                <w:rFonts w:ascii="Arial" w:hAnsi="Arial" w:cs="Arial"/>
              </w:rPr>
            </w:pPr>
          </w:p>
        </w:tc>
        <w:bookmarkStart w:id="1" w:name="_GoBack"/>
        <w:bookmarkEnd w:id="1"/>
      </w:tr>
      <w:tr w:rsidR="00CE04A1" w:rsidTr="00CE04A1">
        <w:trPr>
          <w:trHeight w:val="350"/>
        </w:trPr>
        <w:tc>
          <w:tcPr>
            <w:tcW w:w="11016" w:type="dxa"/>
            <w:gridSpan w:val="3"/>
            <w:shd w:val="clear" w:color="auto" w:fill="FFC000"/>
          </w:tcPr>
          <w:p w:rsidR="00CE04A1" w:rsidRPr="00121BF1" w:rsidRDefault="00CE04A1" w:rsidP="00CE04A1">
            <w:pPr>
              <w:spacing w:before="40" w:after="40"/>
              <w:rPr>
                <w:rFonts w:ascii="Arial" w:hAnsi="Arial" w:cs="Arial"/>
                <w:b/>
                <w:color w:val="004C83"/>
              </w:rPr>
            </w:pPr>
            <w:r w:rsidRPr="00121BF1">
              <w:rPr>
                <w:rFonts w:ascii="Arial" w:hAnsi="Arial" w:cs="Arial"/>
                <w:b/>
                <w:color w:val="004C83"/>
              </w:rPr>
              <w:t>DESIRABLE QUALIFICATIONS</w:t>
            </w:r>
          </w:p>
        </w:tc>
      </w:tr>
      <w:tr w:rsidR="00CE04A1" w:rsidTr="00747F4C">
        <w:trPr>
          <w:trHeight w:val="3527"/>
        </w:trPr>
        <w:tc>
          <w:tcPr>
            <w:tcW w:w="11016" w:type="dxa"/>
            <w:gridSpan w:val="3"/>
          </w:tcPr>
          <w:p w:rsidR="002B1290" w:rsidRPr="002B1290" w:rsidRDefault="002B1290" w:rsidP="002B1290">
            <w:pPr>
              <w:pStyle w:val="BodyText"/>
              <w:tabs>
                <w:tab w:val="left" w:pos="720"/>
              </w:tabs>
              <w:suppressAutoHyphens/>
              <w:ind w:left="360"/>
              <w:rPr>
                <w:rFonts w:ascii="Arial" w:hAnsi="Arial" w:cs="Arial"/>
              </w:rPr>
            </w:pPr>
            <w:r w:rsidRPr="00A0191F">
              <w:rPr>
                <w:rFonts w:ascii="Arial" w:hAnsi="Arial" w:cs="Arial"/>
                <w:b/>
              </w:rPr>
              <w:t>Experience with the following:</w:t>
            </w:r>
          </w:p>
          <w:p w:rsidR="002B1290" w:rsidRPr="002B1290" w:rsidRDefault="002B1290" w:rsidP="002B1290">
            <w:pPr>
              <w:pStyle w:val="BodyText"/>
              <w:numPr>
                <w:ilvl w:val="0"/>
                <w:numId w:val="15"/>
              </w:numPr>
              <w:suppressAutoHyphens/>
              <w:spacing w:after="0"/>
              <w:rPr>
                <w:rFonts w:ascii="Arial" w:hAnsi="Arial" w:cs="Arial"/>
              </w:rPr>
            </w:pPr>
            <w:r w:rsidRPr="002B1290">
              <w:rPr>
                <w:rFonts w:ascii="Arial" w:hAnsi="Arial" w:cs="Arial"/>
              </w:rPr>
              <w:t>VMware ESXi 5.5 through 6.5 administration, patching and upgrades.</w:t>
            </w:r>
          </w:p>
          <w:p w:rsidR="002B1290" w:rsidRPr="002B1290" w:rsidRDefault="002B1290" w:rsidP="002B1290">
            <w:pPr>
              <w:pStyle w:val="BodyText"/>
              <w:numPr>
                <w:ilvl w:val="0"/>
                <w:numId w:val="15"/>
              </w:numPr>
              <w:suppressAutoHyphens/>
              <w:spacing w:after="0"/>
              <w:rPr>
                <w:rFonts w:ascii="Arial" w:hAnsi="Arial" w:cs="Arial"/>
              </w:rPr>
            </w:pPr>
            <w:r w:rsidRPr="002B1290">
              <w:rPr>
                <w:rFonts w:ascii="Arial" w:hAnsi="Arial" w:cs="Arial"/>
              </w:rPr>
              <w:t>EMC network storage products.</w:t>
            </w:r>
          </w:p>
          <w:p w:rsidR="002B1290" w:rsidRPr="002B1290" w:rsidRDefault="002B1290" w:rsidP="002B1290">
            <w:pPr>
              <w:pStyle w:val="BodyText"/>
              <w:numPr>
                <w:ilvl w:val="0"/>
                <w:numId w:val="15"/>
              </w:numPr>
              <w:suppressAutoHyphens/>
              <w:spacing w:after="0"/>
              <w:rPr>
                <w:rFonts w:ascii="Arial" w:hAnsi="Arial" w:cs="Arial"/>
              </w:rPr>
            </w:pPr>
            <w:r w:rsidRPr="002B1290">
              <w:rPr>
                <w:rFonts w:ascii="Arial" w:hAnsi="Arial" w:cs="Arial"/>
              </w:rPr>
              <w:t>Avamar. Data Domain backup solutions.</w:t>
            </w:r>
          </w:p>
          <w:p w:rsidR="002B1290" w:rsidRPr="002B1290" w:rsidRDefault="002B1290" w:rsidP="002B1290">
            <w:pPr>
              <w:pStyle w:val="BodyText"/>
              <w:numPr>
                <w:ilvl w:val="0"/>
                <w:numId w:val="15"/>
              </w:numPr>
              <w:suppressAutoHyphens/>
              <w:spacing w:after="0"/>
              <w:rPr>
                <w:rFonts w:ascii="Arial" w:hAnsi="Arial" w:cs="Arial"/>
              </w:rPr>
            </w:pPr>
            <w:r w:rsidRPr="002B1290">
              <w:rPr>
                <w:rFonts w:ascii="Arial" w:hAnsi="Arial" w:cs="Arial"/>
              </w:rPr>
              <w:t>Windows Server OS, Active Directory, SCCM.</w:t>
            </w:r>
          </w:p>
          <w:p w:rsidR="002B1290" w:rsidRPr="002B1290" w:rsidRDefault="002B1290" w:rsidP="002B1290">
            <w:pPr>
              <w:pStyle w:val="BodyText"/>
              <w:numPr>
                <w:ilvl w:val="0"/>
                <w:numId w:val="15"/>
              </w:numPr>
              <w:suppressAutoHyphens/>
              <w:spacing w:after="0"/>
              <w:jc w:val="both"/>
              <w:rPr>
                <w:rFonts w:ascii="Arial" w:hAnsi="Arial" w:cs="Arial"/>
              </w:rPr>
            </w:pPr>
            <w:r w:rsidRPr="002B1290">
              <w:rPr>
                <w:rFonts w:ascii="Arial" w:hAnsi="Arial" w:cs="Arial"/>
              </w:rPr>
              <w:t>Networking fundamentals in support of TCP/IP and telecommunications networks.</w:t>
            </w:r>
          </w:p>
          <w:p w:rsidR="002B1290" w:rsidRPr="002B1290" w:rsidRDefault="002B1290" w:rsidP="002B1290">
            <w:pPr>
              <w:pStyle w:val="BodyText"/>
              <w:numPr>
                <w:ilvl w:val="0"/>
                <w:numId w:val="15"/>
              </w:numPr>
              <w:suppressAutoHyphens/>
              <w:spacing w:after="0"/>
              <w:jc w:val="both"/>
              <w:rPr>
                <w:rFonts w:ascii="Arial" w:hAnsi="Arial" w:cs="Arial"/>
              </w:rPr>
            </w:pPr>
            <w:r w:rsidRPr="002B1290">
              <w:rPr>
                <w:rFonts w:ascii="Arial" w:hAnsi="Arial" w:cs="Arial"/>
              </w:rPr>
              <w:t>Backup, recovery and disaster preparedness.</w:t>
            </w:r>
          </w:p>
          <w:p w:rsidR="002B1290" w:rsidRPr="002B1290" w:rsidRDefault="002B1290" w:rsidP="002B1290">
            <w:pPr>
              <w:pStyle w:val="BodyText"/>
              <w:numPr>
                <w:ilvl w:val="0"/>
                <w:numId w:val="15"/>
              </w:numPr>
              <w:suppressAutoHyphens/>
              <w:spacing w:after="0"/>
              <w:jc w:val="both"/>
              <w:rPr>
                <w:rFonts w:ascii="Arial" w:hAnsi="Arial" w:cs="Arial"/>
              </w:rPr>
            </w:pPr>
            <w:r w:rsidRPr="002B1290">
              <w:rPr>
                <w:rFonts w:ascii="Arial" w:hAnsi="Arial" w:cs="Arial"/>
              </w:rPr>
              <w:t>Project management concepts, terms, and methodologies.</w:t>
            </w:r>
          </w:p>
          <w:p w:rsidR="002B1290" w:rsidRPr="002B1290" w:rsidRDefault="002B1290" w:rsidP="002B1290">
            <w:pPr>
              <w:pStyle w:val="BodyText"/>
              <w:numPr>
                <w:ilvl w:val="0"/>
                <w:numId w:val="15"/>
              </w:numPr>
              <w:suppressAutoHyphens/>
              <w:spacing w:after="0"/>
              <w:jc w:val="both"/>
              <w:rPr>
                <w:rFonts w:ascii="Arial" w:hAnsi="Arial" w:cs="Arial"/>
              </w:rPr>
            </w:pPr>
            <w:r w:rsidRPr="002B1290">
              <w:rPr>
                <w:rFonts w:ascii="Arial" w:hAnsi="Arial" w:cs="Arial"/>
              </w:rPr>
              <w:t>Technical report writing, research, and analysis.</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Industry best practices and standards for developing and maintaining applications for networked PC’s, internet/intranet, cloud based systems, web services, and database servers.</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Experience monitoring and optimizing application systems.</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Knowledge of functional and technical requirements and system design concepts.</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Exposure to industry standards, concepts, practices, methods, and principles.</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The role and responsibility of various sections within an IT organization.</w:t>
            </w:r>
          </w:p>
          <w:p w:rsidR="002B1290" w:rsidRPr="002B1290" w:rsidRDefault="002B1290" w:rsidP="002B1290">
            <w:pPr>
              <w:numPr>
                <w:ilvl w:val="0"/>
                <w:numId w:val="15"/>
              </w:numPr>
              <w:rPr>
                <w:rFonts w:ascii="Arial" w:eastAsia="Times New Roman" w:hAnsi="Arial" w:cs="Arial"/>
              </w:rPr>
            </w:pPr>
            <w:r w:rsidRPr="002B1290">
              <w:rPr>
                <w:rFonts w:ascii="Arial" w:eastAsia="Times New Roman" w:hAnsi="Arial" w:cs="Arial"/>
              </w:rPr>
              <w:t>The role and responsibility of various State control agencies.</w:t>
            </w:r>
          </w:p>
          <w:p w:rsidR="00CE04A1" w:rsidRPr="00121BF1" w:rsidRDefault="00CE04A1" w:rsidP="002B1290">
            <w:pPr>
              <w:pStyle w:val="BodyTextIndent"/>
              <w:spacing w:after="0"/>
              <w:rPr>
                <w:rFonts w:ascii="Arial" w:hAnsi="Arial" w:cs="Arial"/>
              </w:rPr>
            </w:pP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PERSONAL CHARACTERISTICS</w:t>
            </w:r>
            <w:r>
              <w:rPr>
                <w:rFonts w:ascii="Arial" w:hAnsi="Arial" w:cs="Arial"/>
                <w:b/>
                <w:color w:val="004C83"/>
                <w:sz w:val="24"/>
                <w:szCs w:val="24"/>
              </w:rPr>
              <w:t xml:space="preserve"> and EXPECTATIONS</w:t>
            </w:r>
          </w:p>
        </w:tc>
      </w:tr>
      <w:tr w:rsidR="00CE04A1" w:rsidTr="001E4A42">
        <w:trPr>
          <w:trHeight w:val="1520"/>
        </w:trPr>
        <w:tc>
          <w:tcPr>
            <w:tcW w:w="11016" w:type="dxa"/>
            <w:gridSpan w:val="3"/>
          </w:tcPr>
          <w:p w:rsidR="002B1290" w:rsidRPr="002B1290" w:rsidRDefault="002B1290" w:rsidP="002B1290">
            <w:pPr>
              <w:tabs>
                <w:tab w:val="left" w:pos="342"/>
                <w:tab w:val="right" w:pos="10620"/>
              </w:tabs>
              <w:rPr>
                <w:rFonts w:ascii="Arial" w:hAnsi="Arial" w:cs="Arial"/>
                <w:b/>
                <w:bCs/>
              </w:rPr>
            </w:pPr>
            <w:r w:rsidRPr="002B1290">
              <w:rPr>
                <w:rFonts w:ascii="Arial" w:hAnsi="Arial" w:cs="Arial"/>
                <w:b/>
                <w:bCs/>
                <w:u w:val="single"/>
              </w:rPr>
              <w:t>PERSONAL CHARACTERISTICS</w:t>
            </w:r>
            <w:r w:rsidRPr="002B1290">
              <w:rPr>
                <w:rFonts w:ascii="Arial" w:hAnsi="Arial" w:cs="Arial"/>
                <w:b/>
                <w:bCs/>
              </w:rPr>
              <w:t>:</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Ability to develop statistical data and evaluate results.</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Ability to take and follow verbal and/or written direction from supervisors and managers.</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Ability to problem-solve and use critical and creative thinking to effectively perform work as part of a team or individually.</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Good interaction skills and the ability to deal tactfully, congenially and in a personable manner.</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Communicate successfully in a diverse community as well as with individuals from varied backgrounds.</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Ability to foster positive working relationships with internal and external customers/clients/co-workers.</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General knowledge of the Victim Compensation Program and ability to establish program goals/objectives, identify/resolve program issues.</w:t>
            </w:r>
          </w:p>
          <w:p w:rsidR="002B1290" w:rsidRPr="002B1290" w:rsidRDefault="002B1290" w:rsidP="002B1290">
            <w:pPr>
              <w:numPr>
                <w:ilvl w:val="0"/>
                <w:numId w:val="5"/>
              </w:numPr>
              <w:tabs>
                <w:tab w:val="left" w:pos="342"/>
                <w:tab w:val="right" w:pos="10620"/>
              </w:tabs>
              <w:rPr>
                <w:rFonts w:ascii="Arial" w:hAnsi="Arial" w:cs="Arial"/>
              </w:rPr>
            </w:pPr>
            <w:r w:rsidRPr="002B1290">
              <w:rPr>
                <w:rFonts w:ascii="Arial" w:hAnsi="Arial" w:cs="Arial"/>
              </w:rPr>
              <w:t>General knowledge of governmental functions and organization at the State level.</w:t>
            </w:r>
          </w:p>
          <w:p w:rsidR="00CE04A1" w:rsidRPr="002B1290" w:rsidRDefault="00CE04A1" w:rsidP="002B1290">
            <w:pPr>
              <w:pStyle w:val="ListParagraph"/>
              <w:spacing w:after="120"/>
              <w:rPr>
                <w:rFonts w:ascii="Arial" w:hAnsi="Arial" w:cs="Arial"/>
              </w:rPr>
            </w:pPr>
          </w:p>
          <w:p w:rsidR="002B1290" w:rsidRPr="002B1290" w:rsidRDefault="002B1290" w:rsidP="002B1290">
            <w:pPr>
              <w:tabs>
                <w:tab w:val="left" w:pos="342"/>
                <w:tab w:val="right" w:pos="10620"/>
              </w:tabs>
              <w:rPr>
                <w:rFonts w:ascii="Arial" w:hAnsi="Arial" w:cs="Arial"/>
                <w:b/>
                <w:bCs/>
              </w:rPr>
            </w:pPr>
            <w:r w:rsidRPr="002B1290">
              <w:rPr>
                <w:rFonts w:ascii="Arial" w:hAnsi="Arial" w:cs="Arial"/>
                <w:b/>
                <w:bCs/>
                <w:u w:val="single"/>
              </w:rPr>
              <w:t>WORK EXPECTATIONS</w:t>
            </w:r>
            <w:r w:rsidRPr="002B1290">
              <w:rPr>
                <w:rFonts w:ascii="Arial" w:hAnsi="Arial" w:cs="Arial"/>
                <w:b/>
                <w:bCs/>
              </w:rPr>
              <w:t>:</w:t>
            </w:r>
          </w:p>
          <w:p w:rsidR="002B1290" w:rsidRPr="002B1290" w:rsidRDefault="002B1290" w:rsidP="002B1290">
            <w:pPr>
              <w:pStyle w:val="NoSpacing"/>
              <w:numPr>
                <w:ilvl w:val="0"/>
                <w:numId w:val="18"/>
              </w:numPr>
              <w:rPr>
                <w:rFonts w:ascii="Arial" w:hAnsi="Arial" w:cs="Arial"/>
              </w:rPr>
            </w:pPr>
            <w:r w:rsidRPr="002B1290">
              <w:rPr>
                <w:rFonts w:ascii="Arial" w:hAnsi="Arial" w:cs="Arial"/>
              </w:rPr>
              <w:t>Arrive to work on time and be fully accountable for working a forty-hour work week.</w:t>
            </w:r>
          </w:p>
          <w:p w:rsidR="002B1290" w:rsidRPr="002B1290" w:rsidRDefault="002B1290" w:rsidP="002B1290">
            <w:pPr>
              <w:pStyle w:val="NoSpacing"/>
              <w:numPr>
                <w:ilvl w:val="0"/>
                <w:numId w:val="18"/>
              </w:numPr>
              <w:rPr>
                <w:rFonts w:ascii="Arial" w:hAnsi="Arial" w:cs="Arial"/>
              </w:rPr>
            </w:pPr>
            <w:r w:rsidRPr="002B1290">
              <w:rPr>
                <w:rFonts w:ascii="Arial" w:hAnsi="Arial" w:cs="Arial"/>
              </w:rPr>
              <w:t>Come to meetings prepared.</w:t>
            </w:r>
          </w:p>
          <w:p w:rsidR="002B1290" w:rsidRPr="002B1290" w:rsidRDefault="002B1290" w:rsidP="002B1290">
            <w:pPr>
              <w:pStyle w:val="NoSpacing"/>
              <w:numPr>
                <w:ilvl w:val="0"/>
                <w:numId w:val="18"/>
              </w:numPr>
              <w:rPr>
                <w:rFonts w:ascii="Arial" w:hAnsi="Arial" w:cs="Arial"/>
              </w:rPr>
            </w:pPr>
            <w:r w:rsidRPr="002B1290">
              <w:rPr>
                <w:rFonts w:ascii="Arial" w:hAnsi="Arial" w:cs="Arial"/>
              </w:rPr>
              <w:t>Dress appropriately for an office environment.</w:t>
            </w:r>
          </w:p>
          <w:p w:rsidR="002B1290" w:rsidRPr="002B1290" w:rsidRDefault="002B1290" w:rsidP="002B1290">
            <w:pPr>
              <w:pStyle w:val="NoSpacing"/>
              <w:numPr>
                <w:ilvl w:val="0"/>
                <w:numId w:val="18"/>
              </w:numPr>
              <w:rPr>
                <w:rFonts w:ascii="Arial" w:hAnsi="Arial" w:cs="Arial"/>
              </w:rPr>
            </w:pPr>
            <w:r w:rsidRPr="002B1290">
              <w:rPr>
                <w:rFonts w:ascii="Arial" w:hAnsi="Arial" w:cs="Arial"/>
              </w:rPr>
              <w:t>Demonstrate leadership, diplomacy and courtesy.</w:t>
            </w:r>
          </w:p>
          <w:p w:rsidR="002B1290" w:rsidRPr="002B1290" w:rsidRDefault="002B1290" w:rsidP="002B1290">
            <w:pPr>
              <w:pStyle w:val="NoSpacing"/>
              <w:numPr>
                <w:ilvl w:val="0"/>
                <w:numId w:val="18"/>
              </w:numPr>
              <w:rPr>
                <w:rFonts w:ascii="Arial" w:hAnsi="Arial" w:cs="Arial"/>
              </w:rPr>
            </w:pPr>
            <w:r w:rsidRPr="002B1290">
              <w:rPr>
                <w:rFonts w:ascii="Arial" w:hAnsi="Arial" w:cs="Arial"/>
              </w:rPr>
              <w:t>Follow through and ensure deadlines are met.</w:t>
            </w:r>
          </w:p>
          <w:p w:rsidR="002B1290" w:rsidRPr="002B1290" w:rsidRDefault="002B1290" w:rsidP="002B1290">
            <w:pPr>
              <w:pStyle w:val="NoSpacing"/>
              <w:numPr>
                <w:ilvl w:val="0"/>
                <w:numId w:val="18"/>
              </w:numPr>
              <w:rPr>
                <w:rFonts w:ascii="Arial" w:hAnsi="Arial" w:cs="Arial"/>
              </w:rPr>
            </w:pPr>
            <w:r w:rsidRPr="002B1290">
              <w:rPr>
                <w:rFonts w:ascii="Arial" w:hAnsi="Arial" w:cs="Arial"/>
              </w:rPr>
              <w:t>Use tact and good judgment interacting professionally with management, staff and the public.</w:t>
            </w:r>
          </w:p>
          <w:p w:rsidR="002B1290" w:rsidRPr="002B1290" w:rsidRDefault="002B1290" w:rsidP="002B1290">
            <w:pPr>
              <w:pStyle w:val="NoSpacing"/>
              <w:numPr>
                <w:ilvl w:val="0"/>
                <w:numId w:val="18"/>
              </w:numPr>
              <w:rPr>
                <w:rFonts w:ascii="Arial" w:hAnsi="Arial" w:cs="Arial"/>
              </w:rPr>
            </w:pPr>
            <w:r w:rsidRPr="002B1290">
              <w:rPr>
                <w:rFonts w:ascii="Arial" w:hAnsi="Arial" w:cs="Arial"/>
              </w:rPr>
              <w:t>Maintain awareness of the CalVCB’s Strategic Plan, mission, goals, policies and procedures.</w:t>
            </w:r>
          </w:p>
          <w:p w:rsidR="002B1290" w:rsidRPr="002B1290" w:rsidRDefault="002B1290" w:rsidP="002B1290">
            <w:pPr>
              <w:pStyle w:val="NoSpacing"/>
              <w:numPr>
                <w:ilvl w:val="0"/>
                <w:numId w:val="18"/>
              </w:numPr>
              <w:rPr>
                <w:rFonts w:ascii="Arial" w:hAnsi="Arial" w:cs="Arial"/>
              </w:rPr>
            </w:pPr>
            <w:r w:rsidRPr="002B1290">
              <w:rPr>
                <w:rFonts w:ascii="Arial" w:hAnsi="Arial" w:cs="Arial"/>
              </w:rPr>
              <w:t>Coordinate multiple and/or changing priorities in a heavy workload situation.</w:t>
            </w:r>
          </w:p>
          <w:p w:rsidR="002B1290" w:rsidRDefault="002B1290" w:rsidP="002B1290">
            <w:pPr>
              <w:pStyle w:val="NoSpacing"/>
              <w:numPr>
                <w:ilvl w:val="0"/>
                <w:numId w:val="18"/>
              </w:numPr>
              <w:rPr>
                <w:rFonts w:ascii="Arial" w:hAnsi="Arial" w:cs="Arial"/>
              </w:rPr>
            </w:pPr>
            <w:r w:rsidRPr="002B1290">
              <w:rPr>
                <w:rFonts w:ascii="Arial" w:hAnsi="Arial" w:cs="Arial"/>
              </w:rPr>
              <w:t>Ability to effectively handle stress and deadlines in a fast-paced work environment.</w:t>
            </w:r>
          </w:p>
          <w:p w:rsidR="002B1290" w:rsidRPr="002B1290" w:rsidRDefault="002B1290" w:rsidP="002B1290">
            <w:pPr>
              <w:pStyle w:val="NoSpacing"/>
              <w:ind w:left="720"/>
              <w:rPr>
                <w:rFonts w:ascii="Arial" w:hAnsi="Arial" w:cs="Arial"/>
              </w:rPr>
            </w:pPr>
          </w:p>
          <w:p w:rsidR="002B1290" w:rsidRPr="002B1290" w:rsidRDefault="002B1290" w:rsidP="002B1290">
            <w:pPr>
              <w:pStyle w:val="NoSpacing"/>
              <w:numPr>
                <w:ilvl w:val="0"/>
                <w:numId w:val="18"/>
              </w:numPr>
              <w:rPr>
                <w:rFonts w:ascii="Arial" w:hAnsi="Arial" w:cs="Arial"/>
              </w:rPr>
            </w:pPr>
            <w:r w:rsidRPr="002B1290">
              <w:rPr>
                <w:rFonts w:ascii="Arial" w:hAnsi="Arial" w:cs="Arial"/>
              </w:rPr>
              <w:t>Display good interaction skills and the ability to deal professionally, congenially and in a personable manner with the public, other governmental entities, and staff at all levels.</w:t>
            </w:r>
          </w:p>
          <w:p w:rsidR="002B1290" w:rsidRPr="002B1290" w:rsidRDefault="002B1290" w:rsidP="002B1290">
            <w:pPr>
              <w:pStyle w:val="NoSpacing"/>
              <w:numPr>
                <w:ilvl w:val="0"/>
                <w:numId w:val="18"/>
              </w:numPr>
              <w:rPr>
                <w:rFonts w:ascii="Arial" w:hAnsi="Arial" w:cs="Arial"/>
              </w:rPr>
            </w:pPr>
            <w:r w:rsidRPr="002B1290">
              <w:rPr>
                <w:rFonts w:ascii="Arial" w:hAnsi="Arial" w:cs="Arial"/>
              </w:rPr>
              <w:t>Communicate successfully in a diverse community as well as with individuals from varied backgrounds.</w:t>
            </w:r>
          </w:p>
          <w:p w:rsidR="002B1290" w:rsidRPr="002B1290" w:rsidRDefault="002B1290" w:rsidP="002B1290">
            <w:pPr>
              <w:pStyle w:val="NoSpacing"/>
              <w:numPr>
                <w:ilvl w:val="0"/>
                <w:numId w:val="18"/>
              </w:numPr>
              <w:rPr>
                <w:rFonts w:ascii="Arial" w:hAnsi="Arial" w:cs="Arial"/>
              </w:rPr>
            </w:pPr>
            <w:r w:rsidRPr="002B1290">
              <w:rPr>
                <w:rFonts w:ascii="Arial" w:hAnsi="Arial" w:cs="Arial"/>
              </w:rPr>
              <w:t>Understand, follow and enforce all safety rules and procedures.</w:t>
            </w:r>
          </w:p>
          <w:p w:rsidR="002B1290" w:rsidRPr="002B1290" w:rsidRDefault="002B1290" w:rsidP="002B1290">
            <w:pPr>
              <w:pStyle w:val="ListParagraph"/>
              <w:spacing w:after="120"/>
              <w:rPr>
                <w:rFonts w:ascii="Arial" w:hAnsi="Arial" w:cs="Arial"/>
              </w:rPr>
            </w:pPr>
            <w:r w:rsidRPr="002B1290">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CE04A1">
            <w:pPr>
              <w:pStyle w:val="ListParagraph"/>
              <w:numPr>
                <w:ilvl w:val="0"/>
                <w:numId w:val="6"/>
              </w:numPr>
              <w:spacing w:after="120"/>
              <w:rPr>
                <w:rFonts w:ascii="Arial" w:hAnsi="Arial" w:cs="Arial"/>
              </w:rPr>
            </w:pPr>
            <w:r w:rsidRPr="00515427">
              <w:rPr>
                <w:rFonts w:ascii="Arial" w:hAnsi="Arial" w:cs="Arial"/>
              </w:rPr>
              <w:t>Some carrying/moving of objects up to thirty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1E4A42">
      <w:rPr>
        <w:rFonts w:ascii="Arial" w:hAnsi="Arial" w:cs="Arial"/>
        <w:noProof/>
      </w:rPr>
      <w:t>4</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1E4A42">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8E2BEB"/>
    <w:multiLevelType w:val="hybridMultilevel"/>
    <w:tmpl w:val="D22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26945"/>
    <w:multiLevelType w:val="hybridMultilevel"/>
    <w:tmpl w:val="A8F0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B43AF"/>
    <w:multiLevelType w:val="hybridMultilevel"/>
    <w:tmpl w:val="9A16A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5"/>
  </w:num>
  <w:num w:numId="5">
    <w:abstractNumId w:val="3"/>
  </w:num>
  <w:num w:numId="6">
    <w:abstractNumId w:val="5"/>
  </w:num>
  <w:num w:numId="7">
    <w:abstractNumId w:val="7"/>
  </w:num>
  <w:num w:numId="8">
    <w:abstractNumId w:val="16"/>
  </w:num>
  <w:num w:numId="9">
    <w:abstractNumId w:val="1"/>
  </w:num>
  <w:num w:numId="10">
    <w:abstractNumId w:val="11"/>
  </w:num>
  <w:num w:numId="11">
    <w:abstractNumId w:val="6"/>
  </w:num>
  <w:num w:numId="12">
    <w:abstractNumId w:val="2"/>
  </w:num>
  <w:num w:numId="13">
    <w:abstractNumId w:val="12"/>
  </w:num>
  <w:num w:numId="14">
    <w:abstractNumId w:val="0"/>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23"/>
    <w:rsid w:val="00034017"/>
    <w:rsid w:val="000502B7"/>
    <w:rsid w:val="0007245E"/>
    <w:rsid w:val="000A544C"/>
    <w:rsid w:val="00104EC2"/>
    <w:rsid w:val="00114113"/>
    <w:rsid w:val="00121BF1"/>
    <w:rsid w:val="0014231E"/>
    <w:rsid w:val="0018507D"/>
    <w:rsid w:val="0018720E"/>
    <w:rsid w:val="00193A65"/>
    <w:rsid w:val="001961EF"/>
    <w:rsid w:val="001E3778"/>
    <w:rsid w:val="001E4A42"/>
    <w:rsid w:val="001E5F64"/>
    <w:rsid w:val="00247A35"/>
    <w:rsid w:val="00295419"/>
    <w:rsid w:val="002A7D43"/>
    <w:rsid w:val="002B1290"/>
    <w:rsid w:val="002D362C"/>
    <w:rsid w:val="00301ED5"/>
    <w:rsid w:val="0032321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2A8"/>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D067D"/>
    <w:rsid w:val="006F5E52"/>
    <w:rsid w:val="00714EAC"/>
    <w:rsid w:val="00725EB4"/>
    <w:rsid w:val="00747F4C"/>
    <w:rsid w:val="007E12A0"/>
    <w:rsid w:val="00814227"/>
    <w:rsid w:val="00861F58"/>
    <w:rsid w:val="008B373D"/>
    <w:rsid w:val="008C3EDF"/>
    <w:rsid w:val="00937274"/>
    <w:rsid w:val="009512DD"/>
    <w:rsid w:val="009745C8"/>
    <w:rsid w:val="009A1A33"/>
    <w:rsid w:val="009B56ED"/>
    <w:rsid w:val="009B6592"/>
    <w:rsid w:val="00A0191F"/>
    <w:rsid w:val="00A10F23"/>
    <w:rsid w:val="00A153B4"/>
    <w:rsid w:val="00A225BA"/>
    <w:rsid w:val="00A25BB2"/>
    <w:rsid w:val="00A30598"/>
    <w:rsid w:val="00A31697"/>
    <w:rsid w:val="00A60BDC"/>
    <w:rsid w:val="00AA1126"/>
    <w:rsid w:val="00AA5682"/>
    <w:rsid w:val="00AC0EC4"/>
    <w:rsid w:val="00AF0C33"/>
    <w:rsid w:val="00B07D26"/>
    <w:rsid w:val="00B17A05"/>
    <w:rsid w:val="00B259AF"/>
    <w:rsid w:val="00B527BD"/>
    <w:rsid w:val="00BB2125"/>
    <w:rsid w:val="00BB5859"/>
    <w:rsid w:val="00BB6B68"/>
    <w:rsid w:val="00BC2F93"/>
    <w:rsid w:val="00BC50CB"/>
    <w:rsid w:val="00BD26A2"/>
    <w:rsid w:val="00C16705"/>
    <w:rsid w:val="00CB49A2"/>
    <w:rsid w:val="00CB5A8A"/>
    <w:rsid w:val="00CE04A1"/>
    <w:rsid w:val="00CF08E9"/>
    <w:rsid w:val="00D110E0"/>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60B3"/>
    <w:rsid w:val="00E770F9"/>
    <w:rsid w:val="00EA7B2A"/>
    <w:rsid w:val="00EB6FA2"/>
    <w:rsid w:val="00ED0227"/>
    <w:rsid w:val="00F80228"/>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C23AAE"/>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styleId="NoSpacing">
    <w:name w:val="No Spacing"/>
    <w:uiPriority w:val="1"/>
    <w:qFormat/>
    <w:rsid w:val="002B1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8</cp:revision>
  <cp:lastPrinted>2018-05-30T17:04:00Z</cp:lastPrinted>
  <dcterms:created xsi:type="dcterms:W3CDTF">2018-05-30T16:54:00Z</dcterms:created>
  <dcterms:modified xsi:type="dcterms:W3CDTF">2018-05-30T17:04:00Z</dcterms:modified>
</cp:coreProperties>
</file>