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8" w:type="dxa"/>
        <w:tblBorders>
          <w:top w:val="double" w:sz="6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668"/>
        <w:gridCol w:w="6660"/>
        <w:gridCol w:w="3000"/>
      </w:tblGrid>
      <w:tr w:rsidR="003B01EF" w14:paraId="749529FE" w14:textId="77777777">
        <w:trPr>
          <w:cantSplit/>
          <w:trHeight w:hRule="exact" w:val="960"/>
        </w:trPr>
        <w:tc>
          <w:tcPr>
            <w:tcW w:w="11328" w:type="dxa"/>
            <w:gridSpan w:val="3"/>
            <w:tcBorders>
              <w:top w:val="nil"/>
              <w:bottom w:val="double" w:sz="6" w:space="0" w:color="auto"/>
            </w:tcBorders>
            <w:noWrap/>
            <w:tcMar>
              <w:right w:w="48" w:type="dxa"/>
            </w:tcMar>
            <w:vAlign w:val="center"/>
          </w:tcPr>
          <w:p w14:paraId="77A0F2F2" w14:textId="77777777" w:rsidR="003B01EF" w:rsidRDefault="003B01EF">
            <w:pPr>
              <w:pStyle w:val="Heading1"/>
            </w:pPr>
            <w:r>
              <w:t>duty statement</w:t>
            </w:r>
          </w:p>
        </w:tc>
      </w:tr>
      <w:tr w:rsidR="003B01EF" w14:paraId="450D9F20" w14:textId="77777777">
        <w:trPr>
          <w:cantSplit/>
          <w:trHeight w:hRule="exact" w:val="516"/>
        </w:trPr>
        <w:tc>
          <w:tcPr>
            <w:tcW w:w="83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right w:w="48" w:type="dxa"/>
            </w:tcMar>
            <w:vAlign w:val="center"/>
          </w:tcPr>
          <w:p w14:paraId="1978EDB0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Class Title</w:t>
            </w:r>
          </w:p>
          <w:p w14:paraId="4F432884" w14:textId="77777777" w:rsidR="003B01EF" w:rsidRDefault="00AF1887">
            <w:pPr>
              <w:pStyle w:val="Fill-in"/>
            </w:pPr>
            <w:r>
              <w:t>CEA A - Chief</w:t>
            </w:r>
          </w:p>
        </w:tc>
        <w:tc>
          <w:tcPr>
            <w:tcW w:w="3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636E7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Position Number</w:t>
            </w:r>
          </w:p>
          <w:p w14:paraId="78252BC8" w14:textId="4DFA5ABF" w:rsidR="003B01EF" w:rsidRDefault="00AF1887" w:rsidP="0094399A">
            <w:pPr>
              <w:pStyle w:val="Fill-in"/>
              <w:rPr>
                <w:sz w:val="16"/>
              </w:rPr>
            </w:pPr>
            <w:r>
              <w:t>806-2</w:t>
            </w:r>
            <w:r w:rsidR="0094399A">
              <w:t>0</w:t>
            </w:r>
            <w:r>
              <w:t>0-7500-001</w:t>
            </w:r>
          </w:p>
        </w:tc>
      </w:tr>
      <w:tr w:rsidR="003B01EF" w14:paraId="48C15579" w14:textId="77777777">
        <w:trPr>
          <w:cantSplit/>
          <w:trHeight w:hRule="exact" w:val="516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</w:tcPr>
          <w:p w14:paraId="369E780D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COI Classification</w:t>
            </w:r>
          </w:p>
          <w:p w14:paraId="78705400" w14:textId="77777777" w:rsidR="003B01EF" w:rsidRDefault="00F670B1">
            <w:pPr>
              <w:pStyle w:val="Fill-in"/>
              <w:rPr>
                <w:b/>
                <w:bCs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23B92">
              <w:fldChar w:fldCharType="separate"/>
            </w:r>
            <w:r>
              <w:fldChar w:fldCharType="end"/>
            </w:r>
            <w:bookmarkEnd w:id="0"/>
            <w:r w:rsidR="003B01EF">
              <w:t xml:space="preserve"> Yes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37692" w14:textId="77777777" w:rsidR="003B01EF" w:rsidRDefault="003B01EF">
            <w:pPr>
              <w:pStyle w:val="Subhead"/>
            </w:pPr>
          </w:p>
          <w:p w14:paraId="04F8682E" w14:textId="77777777" w:rsidR="003B01EF" w:rsidRDefault="003B01EF">
            <w:pPr>
              <w:pStyle w:val="Fill-in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23B92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3B01EF" w14:paraId="0508CF8C" w14:textId="77777777">
        <w:trPr>
          <w:cantSplit/>
          <w:trHeight w:hRule="exact" w:val="516"/>
        </w:trPr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3BF8D59A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Unit</w:t>
            </w:r>
          </w:p>
          <w:p w14:paraId="54275C32" w14:textId="77777777" w:rsidR="003B01EF" w:rsidRDefault="003B01EF">
            <w:pPr>
              <w:pStyle w:val="Fill-i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1EF" w14:paraId="5D3516D8" w14:textId="77777777">
        <w:trPr>
          <w:cantSplit/>
          <w:trHeight w:hRule="exact" w:val="516"/>
        </w:trPr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3E0ED81F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Section</w:t>
            </w:r>
          </w:p>
          <w:p w14:paraId="5A85E1D2" w14:textId="77777777" w:rsidR="003B01EF" w:rsidRDefault="003B01EF">
            <w:pPr>
              <w:pStyle w:val="Fill-in"/>
              <w:rPr>
                <w:sz w:val="16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1EF" w14:paraId="73EF9420" w14:textId="77777777">
        <w:trPr>
          <w:cantSplit/>
          <w:trHeight w:hRule="exact" w:val="516"/>
        </w:trPr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58BA4957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Branch</w:t>
            </w:r>
          </w:p>
          <w:p w14:paraId="7D9C6585" w14:textId="77777777" w:rsidR="003B01EF" w:rsidRDefault="00AF1887">
            <w:pPr>
              <w:pStyle w:val="Fill-in"/>
              <w:rPr>
                <w:sz w:val="16"/>
              </w:rPr>
            </w:pPr>
            <w:r>
              <w:t>Financial Audits Branch</w:t>
            </w:r>
          </w:p>
        </w:tc>
      </w:tr>
      <w:tr w:rsidR="003B01EF" w14:paraId="7E13EC23" w14:textId="77777777" w:rsidTr="00774CE5">
        <w:trPr>
          <w:cantSplit/>
          <w:trHeight w:hRule="exact" w:val="516"/>
        </w:trPr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right w:w="48" w:type="dxa"/>
            </w:tcMar>
            <w:vAlign w:val="center"/>
          </w:tcPr>
          <w:p w14:paraId="491296B8" w14:textId="77777777" w:rsidR="003B01EF" w:rsidRDefault="003B01EF">
            <w:pPr>
              <w:pStyle w:val="Fill-in--Centered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Division</w:t>
            </w:r>
          </w:p>
          <w:p w14:paraId="692CFDDD" w14:textId="77777777" w:rsidR="003B01EF" w:rsidRDefault="00AF1887">
            <w:pPr>
              <w:pStyle w:val="Fill-in"/>
              <w:rPr>
                <w:sz w:val="16"/>
              </w:rPr>
            </w:pPr>
            <w:r>
              <w:t>Audits and Investigations Division</w:t>
            </w:r>
          </w:p>
        </w:tc>
      </w:tr>
      <w:tr w:rsidR="003B01EF" w14:paraId="69F3BD00" w14:textId="77777777" w:rsidTr="00AF5855">
        <w:trPr>
          <w:cantSplit/>
          <w:trHeight w:hRule="exact" w:val="1450"/>
        </w:trPr>
        <w:tc>
          <w:tcPr>
            <w:tcW w:w="1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48" w:type="dxa"/>
            </w:tcMar>
            <w:vAlign w:val="center"/>
          </w:tcPr>
          <w:p w14:paraId="5D56E749" w14:textId="77777777" w:rsidR="003B01EF" w:rsidRDefault="003B01EF" w:rsidP="00774CE5">
            <w:pPr>
              <w:pStyle w:val="Fill-in"/>
              <w:rPr>
                <w:rFonts w:cs="Times New Roman"/>
                <w:iCs w:val="0"/>
                <w:szCs w:val="24"/>
              </w:rPr>
            </w:pPr>
            <w:r>
              <w:rPr>
                <w:rFonts w:cs="Times New Roman"/>
                <w:iCs w:val="0"/>
                <w:szCs w:val="24"/>
              </w:rPr>
              <w:t>This position requires the incumbent maintain consistent and regular attendance; communicate effectively (orally and in writing) in dealing with the public and/or other employees; develop and maintain knowledge and skill related to specific tasks, methodologies, materials, tools, and equipment; complete assignments in a timely and efficient manner; and, adhere to departmental policies and procedures regarding attendance, leave, and conduct.</w:t>
            </w:r>
          </w:p>
        </w:tc>
      </w:tr>
      <w:tr w:rsidR="003B01EF" w14:paraId="68DB9B14" w14:textId="77777777" w:rsidTr="00774CE5">
        <w:trPr>
          <w:cantSplit/>
          <w:trHeight w:val="480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46A68EE7" w14:textId="6EA47A2E" w:rsidR="00AF1887" w:rsidRDefault="003B01EF" w:rsidP="00B5719E">
            <w:pPr>
              <w:pStyle w:val="Fill-in"/>
              <w:jc w:val="left"/>
            </w:pPr>
            <w:r>
              <w:rPr>
                <w:b/>
                <w:bCs/>
              </w:rPr>
              <w:t>Job Summary:</w:t>
            </w:r>
            <w:r>
              <w:t xml:space="preserve">  </w:t>
            </w:r>
            <w:r w:rsidR="00CB37E6">
              <w:t xml:space="preserve">The </w:t>
            </w:r>
            <w:r w:rsidR="008630CC">
              <w:t xml:space="preserve">Chief, CEA A, is </w:t>
            </w:r>
            <w:r w:rsidR="00CB37E6">
              <w:t xml:space="preserve">responsible for </w:t>
            </w:r>
            <w:r w:rsidR="00B357B9">
              <w:t xml:space="preserve">the </w:t>
            </w:r>
            <w:r w:rsidR="00F125CC">
              <w:t xml:space="preserve">leadership </w:t>
            </w:r>
            <w:r w:rsidR="00B357B9">
              <w:t>of</w:t>
            </w:r>
            <w:r w:rsidR="00CB37E6">
              <w:t xml:space="preserve"> the </w:t>
            </w:r>
            <w:r w:rsidR="00F125CC">
              <w:t xml:space="preserve">Financial Audits Branch within the </w:t>
            </w:r>
            <w:r w:rsidR="001311AD">
              <w:t>Audits and Investigations Division (A&amp;I)</w:t>
            </w:r>
            <w:r w:rsidR="00B357B9">
              <w:t>, and for sustaining a cul</w:t>
            </w:r>
            <w:r w:rsidR="004C61F7">
              <w:t>t</w:t>
            </w:r>
            <w:r w:rsidR="00B357B9">
              <w:t xml:space="preserve">ure of </w:t>
            </w:r>
            <w:r w:rsidR="00F125CC">
              <w:t xml:space="preserve">integrity, </w:t>
            </w:r>
            <w:r w:rsidR="00B357B9">
              <w:t>collaboration, accountability and transparency</w:t>
            </w:r>
            <w:r w:rsidR="00636F68">
              <w:t xml:space="preserve">. </w:t>
            </w:r>
            <w:r w:rsidR="00B357B9">
              <w:t>The Chief is responsible for policy formation and decision-making to ensure the effective operations of the Branch. T</w:t>
            </w:r>
            <w:r w:rsidR="00B5719E">
              <w:t xml:space="preserve">he Branch </w:t>
            </w:r>
            <w:r w:rsidR="005716DF">
              <w:t>conducts</w:t>
            </w:r>
            <w:r w:rsidR="00636F68">
              <w:t xml:space="preserve"> </w:t>
            </w:r>
            <w:r w:rsidR="0089099B">
              <w:t xml:space="preserve">over 3,800 </w:t>
            </w:r>
            <w:r w:rsidR="00636F68">
              <w:t xml:space="preserve">financial audits </w:t>
            </w:r>
            <w:r w:rsidR="0089099B">
              <w:t xml:space="preserve">annually </w:t>
            </w:r>
            <w:r w:rsidR="00636F68">
              <w:t xml:space="preserve">to </w:t>
            </w:r>
            <w:r w:rsidR="00636F68" w:rsidRPr="00636F68">
              <w:t>ensure that institutional Medi-Cal provider claim</w:t>
            </w:r>
            <w:r w:rsidR="00B5719E">
              <w:t>s</w:t>
            </w:r>
            <w:r w:rsidR="00636F68" w:rsidRPr="00636F68">
              <w:t xml:space="preserve"> for services are </w:t>
            </w:r>
            <w:r w:rsidR="00B5719E">
              <w:t xml:space="preserve">accurate, </w:t>
            </w:r>
            <w:r w:rsidR="00636F68" w:rsidRPr="00636F68">
              <w:t xml:space="preserve">appropriate and in compliance with federal </w:t>
            </w:r>
            <w:r w:rsidR="00C54523">
              <w:t xml:space="preserve">and state </w:t>
            </w:r>
            <w:r w:rsidR="00636F68" w:rsidRPr="00636F68">
              <w:t xml:space="preserve">Medicare and </w:t>
            </w:r>
            <w:r w:rsidR="00C54523">
              <w:t>Medicaid (Medi-Cal)</w:t>
            </w:r>
            <w:r w:rsidR="00636F68" w:rsidRPr="00636F68">
              <w:t xml:space="preserve"> </w:t>
            </w:r>
            <w:r w:rsidR="00B5719E">
              <w:t>p</w:t>
            </w:r>
            <w:r w:rsidR="00636F68" w:rsidRPr="00636F68">
              <w:t>rogram laws and regulations.</w:t>
            </w:r>
            <w:r w:rsidR="00636F68">
              <w:t xml:space="preserve"> </w:t>
            </w:r>
            <w:r w:rsidR="0089099B">
              <w:t>D</w:t>
            </w:r>
            <w:r w:rsidR="00636F68">
              <w:t xml:space="preserve">HCS programs </w:t>
            </w:r>
            <w:r w:rsidR="00E0306B">
              <w:t xml:space="preserve">also utilize audited cost data </w:t>
            </w:r>
            <w:r w:rsidR="0089099B">
              <w:t xml:space="preserve">to </w:t>
            </w:r>
            <w:r w:rsidR="00B5719E">
              <w:t>set provider rates and achiev</w:t>
            </w:r>
            <w:r w:rsidR="0089099B">
              <w:t>e</w:t>
            </w:r>
            <w:r w:rsidR="00B5719E">
              <w:t xml:space="preserve"> other programmatic objectives. </w:t>
            </w:r>
            <w:r w:rsidR="00B357B9">
              <w:t>T</w:t>
            </w:r>
            <w:r w:rsidR="00B5719E">
              <w:t xml:space="preserve">he </w:t>
            </w:r>
            <w:r w:rsidR="00B357B9">
              <w:t xml:space="preserve">Chief and </w:t>
            </w:r>
            <w:r w:rsidR="00B5719E">
              <w:t>Branch f</w:t>
            </w:r>
            <w:r w:rsidR="00CB000F">
              <w:t>unction</w:t>
            </w:r>
            <w:r w:rsidR="00B5719E" w:rsidRPr="00AF1887">
              <w:t xml:space="preserve"> as the Department</w:t>
            </w:r>
            <w:r w:rsidR="00B5719E">
              <w:t>’s</w:t>
            </w:r>
            <w:r w:rsidR="00B5719E" w:rsidRPr="00AF1887">
              <w:t xml:space="preserve"> </w:t>
            </w:r>
            <w:r w:rsidR="00F125CC">
              <w:t xml:space="preserve">financial </w:t>
            </w:r>
            <w:r w:rsidR="00B5719E" w:rsidRPr="00AF1887">
              <w:t xml:space="preserve">audit program </w:t>
            </w:r>
            <w:r w:rsidR="00B5719E">
              <w:t>policy and reimbursement expert</w:t>
            </w:r>
            <w:r w:rsidR="00CB000F">
              <w:t>s</w:t>
            </w:r>
            <w:r w:rsidR="00B5719E">
              <w:t>.</w:t>
            </w:r>
            <w:r w:rsidR="00C05FD0">
              <w:t xml:space="preserve"> In this role, </w:t>
            </w:r>
            <w:r w:rsidR="00963676">
              <w:t xml:space="preserve">the </w:t>
            </w:r>
            <w:r w:rsidR="008630CC">
              <w:t xml:space="preserve">Chief and </w:t>
            </w:r>
            <w:r w:rsidR="004913F1">
              <w:t>B</w:t>
            </w:r>
            <w:r w:rsidR="00F125CC">
              <w:t xml:space="preserve">ranch </w:t>
            </w:r>
            <w:r w:rsidR="008630CC">
              <w:t xml:space="preserve">staff </w:t>
            </w:r>
            <w:r w:rsidR="00963676">
              <w:t xml:space="preserve">must work collaboratively with program partners </w:t>
            </w:r>
            <w:r w:rsidR="0089099B">
              <w:t xml:space="preserve">on </w:t>
            </w:r>
            <w:proofErr w:type="gramStart"/>
            <w:r w:rsidR="0089099B">
              <w:t>cross-cutting</w:t>
            </w:r>
            <w:proofErr w:type="gramEnd"/>
            <w:r w:rsidR="0089099B">
              <w:t xml:space="preserve"> issues that impact program policy</w:t>
            </w:r>
            <w:r w:rsidR="003821AD">
              <w:t>, reimbursements to providers</w:t>
            </w:r>
            <w:r w:rsidR="0089099B">
              <w:t xml:space="preserve"> and </w:t>
            </w:r>
            <w:r w:rsidR="003821AD">
              <w:t xml:space="preserve">the </w:t>
            </w:r>
            <w:r w:rsidR="0089099B">
              <w:t xml:space="preserve">delivery of services to Medi-Cal </w:t>
            </w:r>
            <w:r w:rsidR="00F125CC">
              <w:t>beneficiaries</w:t>
            </w:r>
            <w:r w:rsidR="0089099B">
              <w:t>.</w:t>
            </w:r>
          </w:p>
          <w:p w14:paraId="7EC50EF4" w14:textId="77777777" w:rsidR="00B5719E" w:rsidRDefault="00B5719E" w:rsidP="00B5719E">
            <w:pPr>
              <w:pStyle w:val="Fill-in"/>
              <w:jc w:val="left"/>
            </w:pPr>
          </w:p>
        </w:tc>
      </w:tr>
      <w:tr w:rsidR="003B01EF" w14:paraId="6676D35F" w14:textId="77777777" w:rsidTr="00774CE5">
        <w:trPr>
          <w:cantSplit/>
          <w:trHeight w:val="480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4BD93298" w14:textId="77777777" w:rsidR="003B01EF" w:rsidRDefault="003B01EF">
            <w:pPr>
              <w:pStyle w:val="Fill-in"/>
            </w:pPr>
            <w:r>
              <w:rPr>
                <w:b/>
                <w:bCs/>
              </w:rPr>
              <w:t>Supervision Received:</w:t>
            </w:r>
            <w:r>
              <w:t xml:space="preserve">  </w:t>
            </w:r>
            <w:r w:rsidR="00AF1887" w:rsidRPr="00AF1887">
              <w:t>Under the general direction of the Deputy Director, A&amp;I</w:t>
            </w:r>
            <w:r w:rsidR="00CB37E6">
              <w:t>, CEA C.</w:t>
            </w:r>
          </w:p>
        </w:tc>
      </w:tr>
      <w:tr w:rsidR="003B01EF" w14:paraId="2496B167" w14:textId="77777777" w:rsidTr="00774CE5">
        <w:trPr>
          <w:cantSplit/>
          <w:trHeight w:val="480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7797E1C3" w14:textId="45C751A9" w:rsidR="003B01EF" w:rsidRDefault="003B01EF">
            <w:pPr>
              <w:pStyle w:val="Fill-in"/>
            </w:pPr>
            <w:r>
              <w:rPr>
                <w:b/>
                <w:bCs/>
              </w:rPr>
              <w:t>Supervision Exercised:</w:t>
            </w:r>
            <w:r>
              <w:t xml:space="preserve">  </w:t>
            </w:r>
            <w:r w:rsidR="004167BF">
              <w:t xml:space="preserve">Directly supervises a </w:t>
            </w:r>
            <w:r w:rsidR="00A61AE1">
              <w:t xml:space="preserve">Health Program Audit Manager III, </w:t>
            </w:r>
            <w:r w:rsidR="00AF1887" w:rsidRPr="00A61AE1">
              <w:t>1</w:t>
            </w:r>
            <w:r w:rsidR="00E84871">
              <w:t>3</w:t>
            </w:r>
            <w:r w:rsidR="00AF1887" w:rsidRPr="00A61AE1">
              <w:t xml:space="preserve"> Health Program Audit Man</w:t>
            </w:r>
            <w:r w:rsidR="00F125CC">
              <w:t>a</w:t>
            </w:r>
            <w:r w:rsidR="00AF1887" w:rsidRPr="00A61AE1">
              <w:t>ger II’s</w:t>
            </w:r>
            <w:r w:rsidR="00E84871">
              <w:t xml:space="preserve"> (14 as of 7/1/19)</w:t>
            </w:r>
            <w:r w:rsidR="00A61A67">
              <w:t xml:space="preserve">, </w:t>
            </w:r>
            <w:r w:rsidR="004167BF">
              <w:t xml:space="preserve">and </w:t>
            </w:r>
            <w:r w:rsidR="00C05FD0">
              <w:t>one</w:t>
            </w:r>
            <w:r w:rsidR="00A61AE1">
              <w:t xml:space="preserve"> Staff Services Manager II</w:t>
            </w:r>
            <w:r w:rsidR="004167BF">
              <w:t xml:space="preserve">. Indirectly manages </w:t>
            </w:r>
            <w:r w:rsidR="00C05FD0">
              <w:t xml:space="preserve">over </w:t>
            </w:r>
            <w:r w:rsidR="00E84871">
              <w:t xml:space="preserve">380 </w:t>
            </w:r>
            <w:r w:rsidR="00AF1887" w:rsidRPr="00A61AE1">
              <w:t>subordinate staff</w:t>
            </w:r>
            <w:r w:rsidR="00E84871">
              <w:t xml:space="preserve"> (395 as of 7/1/19)</w:t>
            </w:r>
            <w:r w:rsidR="00AF1887" w:rsidRPr="00A61AE1">
              <w:t xml:space="preserve">, </w:t>
            </w:r>
            <w:r w:rsidR="00A61AE1">
              <w:t xml:space="preserve">located </w:t>
            </w:r>
            <w:r w:rsidR="00AF1887" w:rsidRPr="00A61AE1">
              <w:t xml:space="preserve">in </w:t>
            </w:r>
            <w:r w:rsidR="00AF1887" w:rsidRPr="006D5AAB">
              <w:t>nine locations</w:t>
            </w:r>
            <w:r w:rsidR="00AF1887" w:rsidRPr="00A61AE1">
              <w:t xml:space="preserve"> throughout the state.</w:t>
            </w:r>
          </w:p>
          <w:p w14:paraId="18BCF884" w14:textId="77777777" w:rsidR="00AF1887" w:rsidRDefault="00AF1887">
            <w:pPr>
              <w:pStyle w:val="Fill-in"/>
            </w:pPr>
          </w:p>
        </w:tc>
      </w:tr>
      <w:tr w:rsidR="003B01EF" w14:paraId="2DFDF882" w14:textId="77777777" w:rsidTr="00774CE5">
        <w:trPr>
          <w:cantSplit/>
          <w:trHeight w:val="480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442080E7" w14:textId="77777777" w:rsidR="003B01EF" w:rsidRDefault="003B01EF">
            <w:pPr>
              <w:pStyle w:val="Fill-in"/>
            </w:pPr>
            <w:r>
              <w:rPr>
                <w:b/>
                <w:bCs/>
              </w:rPr>
              <w:t>Description of Duties: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01EF" w14:paraId="64A47119" w14:textId="77777777" w:rsidTr="00774CE5">
        <w:trPr>
          <w:cantSplit/>
          <w:trHeight w:val="480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03335DDC" w14:textId="77777777" w:rsidR="003B01EF" w:rsidRDefault="003B01EF">
            <w:pPr>
              <w:pStyle w:val="Fill-in"/>
              <w:rPr>
                <w:b/>
                <w:bCs/>
              </w:rPr>
            </w:pPr>
          </w:p>
        </w:tc>
      </w:tr>
      <w:tr w:rsidR="003B01EF" w14:paraId="5084A826" w14:textId="77777777" w:rsidTr="00774CE5">
        <w:trPr>
          <w:trHeight w:val="951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1393C46C" w14:textId="77777777" w:rsidR="003B01EF" w:rsidRDefault="003B01EF" w:rsidP="00AF1887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Percent of Time</w:t>
            </w:r>
            <w:r>
              <w:rPr>
                <w:b/>
                <w:bCs/>
              </w:rPr>
              <w:tab/>
              <w:t>Essential Functions</w:t>
            </w:r>
          </w:p>
          <w:p w14:paraId="26E322C7" w14:textId="38255DE4" w:rsidR="004127A1" w:rsidRDefault="00AF1887" w:rsidP="004127A1">
            <w:pPr>
              <w:pStyle w:val="Fill-in"/>
              <w:tabs>
                <w:tab w:val="left" w:pos="1980"/>
              </w:tabs>
              <w:spacing w:before="120"/>
              <w:ind w:left="1987" w:hanging="1987"/>
              <w:jc w:val="left"/>
            </w:pPr>
            <w:r>
              <w:t>3</w:t>
            </w:r>
            <w:r w:rsidR="00956657">
              <w:t>0</w:t>
            </w:r>
            <w:r>
              <w:t>%</w:t>
            </w:r>
            <w:r>
              <w:tab/>
            </w:r>
            <w:r w:rsidR="004127A1" w:rsidRPr="00AF1887">
              <w:t xml:space="preserve">Plan, organize, and direct the day-to day operations and management of the </w:t>
            </w:r>
            <w:r w:rsidR="004127A1">
              <w:t>Branch</w:t>
            </w:r>
            <w:r w:rsidR="004127A1" w:rsidRPr="00AF1887">
              <w:t xml:space="preserve">.  Oversee audit managers and supervisors located in </w:t>
            </w:r>
            <w:r w:rsidR="004127A1" w:rsidRPr="006D5AAB">
              <w:t>nine locations</w:t>
            </w:r>
            <w:r w:rsidR="004127A1" w:rsidRPr="00AF1887">
              <w:t xml:space="preserve"> throughout the state in every aspect of audit policy, procedure, and implementation.  Make decisions regarding technical audit</w:t>
            </w:r>
            <w:r w:rsidR="004127A1">
              <w:t xml:space="preserve"> and branch-</w:t>
            </w:r>
            <w:r w:rsidR="004127A1" w:rsidRPr="00AF1887">
              <w:t>related issues based on findings presented</w:t>
            </w:r>
            <w:r w:rsidR="004127A1">
              <w:t xml:space="preserve"> </w:t>
            </w:r>
            <w:r w:rsidR="004127A1" w:rsidRPr="00AF1887">
              <w:t xml:space="preserve">by </w:t>
            </w:r>
            <w:r w:rsidR="004127A1">
              <w:t xml:space="preserve">Branch </w:t>
            </w:r>
            <w:r w:rsidR="004127A1" w:rsidRPr="00AF1887">
              <w:t xml:space="preserve">managers and </w:t>
            </w:r>
            <w:r w:rsidR="004127A1">
              <w:t xml:space="preserve">Branch </w:t>
            </w:r>
            <w:r w:rsidR="004127A1" w:rsidRPr="00AF1887">
              <w:t xml:space="preserve">Audit Committee Members.  Develop an effective audit reporting system to ensure uniformity in accordance with Federal and State laws and regulations, </w:t>
            </w:r>
            <w:r w:rsidR="004127A1">
              <w:t xml:space="preserve">and </w:t>
            </w:r>
            <w:r w:rsidR="004127A1" w:rsidRPr="00AF1887">
              <w:t xml:space="preserve">Generally Accepted </w:t>
            </w:r>
            <w:r w:rsidR="004127A1">
              <w:t xml:space="preserve">Government </w:t>
            </w:r>
            <w:r w:rsidR="004127A1" w:rsidRPr="00AF1887">
              <w:t>Auditing Standards.</w:t>
            </w:r>
            <w:r w:rsidR="004127A1">
              <w:t xml:space="preserve"> </w:t>
            </w:r>
            <w:r w:rsidR="004127A1" w:rsidRPr="00CE275B">
              <w:t>Coordinate and oversee the development and implementation of systems for audit policy development; audit program development and evaluation</w:t>
            </w:r>
            <w:r w:rsidR="004127A1">
              <w:t>.</w:t>
            </w:r>
          </w:p>
          <w:p w14:paraId="72B9E0F7" w14:textId="77777777" w:rsidR="00CE275B" w:rsidRDefault="00CE275B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</w:p>
          <w:p w14:paraId="5FF8582B" w14:textId="77777777" w:rsidR="004127A1" w:rsidRDefault="004127A1" w:rsidP="004127A1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  <w:r>
              <w:t>30</w:t>
            </w:r>
            <w:r w:rsidR="00AF1887">
              <w:t>%</w:t>
            </w:r>
            <w:r w:rsidR="00AF1887">
              <w:tab/>
            </w:r>
            <w:r>
              <w:t>R</w:t>
            </w:r>
            <w:r w:rsidRPr="004127A1">
              <w:t xml:space="preserve">epresent </w:t>
            </w:r>
            <w:r>
              <w:t xml:space="preserve">the Branch </w:t>
            </w:r>
            <w:r w:rsidRPr="004127A1">
              <w:t>at meetings with the Director’s Office and internal and external parties</w:t>
            </w:r>
            <w:r>
              <w:t xml:space="preserve">. </w:t>
            </w:r>
            <w:r w:rsidRPr="00AF1887">
              <w:t xml:space="preserve">Responsible for the Department’s complex audit program </w:t>
            </w:r>
            <w:r>
              <w:t>and reimbursement policies</w:t>
            </w:r>
            <w:r w:rsidRPr="00AF1887">
              <w:t>.</w:t>
            </w:r>
            <w:r>
              <w:t xml:space="preserve">  </w:t>
            </w:r>
            <w:r w:rsidRPr="00AF1887">
              <w:lastRenderedPageBreak/>
              <w:t>Develop and implement audit program policy and procedures in response to legislati</w:t>
            </w:r>
            <w:r>
              <w:t>ve mandates, changing l</w:t>
            </w:r>
            <w:r w:rsidRPr="00AF1887">
              <w:t>egal requirements and/or Sta</w:t>
            </w:r>
            <w:r>
              <w:t>te</w:t>
            </w:r>
            <w:r w:rsidRPr="00AF1887">
              <w:t xml:space="preserve"> Plan amendments.  Provide the Director, Chief Deputy Director</w:t>
            </w:r>
            <w:r>
              <w:t>s</w:t>
            </w:r>
            <w:r w:rsidRPr="00AF1887">
              <w:t xml:space="preserve">, and Deputy Directors consultation and expertise </w:t>
            </w:r>
            <w:r>
              <w:t xml:space="preserve">regarding the outcome and impact of the Branch’s audits on </w:t>
            </w:r>
            <w:r w:rsidRPr="00AF1887">
              <w:t>provider payments</w:t>
            </w:r>
            <w:r>
              <w:t>/reimbursements</w:t>
            </w:r>
            <w:r w:rsidRPr="00AF1887">
              <w:t xml:space="preserve">, costs, and financing </w:t>
            </w:r>
            <w:r>
              <w:t xml:space="preserve">matters </w:t>
            </w:r>
            <w:r w:rsidRPr="00AF1887">
              <w:t xml:space="preserve">for health care services funded </w:t>
            </w:r>
            <w:r>
              <w:t>by</w:t>
            </w:r>
            <w:r w:rsidRPr="00AF1887">
              <w:t xml:space="preserve"> Federal Title XIX (Medi-Cal) and </w:t>
            </w:r>
            <w:r>
              <w:t xml:space="preserve">the </w:t>
            </w:r>
            <w:r w:rsidRPr="00AF1887">
              <w:t xml:space="preserve">State General Fund.  Represent DHCS </w:t>
            </w:r>
            <w:r>
              <w:t>in response to</w:t>
            </w:r>
            <w:r w:rsidRPr="00AF1887">
              <w:t xml:space="preserve"> requests from external </w:t>
            </w:r>
            <w:r>
              <w:t>stakeholders</w:t>
            </w:r>
            <w:r w:rsidRPr="00AF1887">
              <w:t xml:space="preserve"> </w:t>
            </w:r>
            <w:r>
              <w:t xml:space="preserve">that include, but are not limited to, </w:t>
            </w:r>
            <w:r w:rsidRPr="00AF1887">
              <w:t>the Legislature, Federal and State agencies, constituency groups, counties and legal advocates.</w:t>
            </w:r>
          </w:p>
          <w:p w14:paraId="555B4DF3" w14:textId="77777777" w:rsidR="00AF1887" w:rsidRDefault="00AF1887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</w:p>
          <w:p w14:paraId="2ACA456F" w14:textId="4389CE1E" w:rsidR="004127A1" w:rsidRDefault="00956657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  <w:r>
              <w:t>20</w:t>
            </w:r>
            <w:r w:rsidR="00AF1887">
              <w:t>%</w:t>
            </w:r>
            <w:r w:rsidR="00AF1887">
              <w:tab/>
            </w:r>
            <w:r w:rsidR="004127A1" w:rsidRPr="00CE275B">
              <w:t>Respond to proposed legislation regarding health care issues affecting the policies and procedures of audit operations.</w:t>
            </w:r>
            <w:r w:rsidR="004127A1">
              <w:t xml:space="preserve"> </w:t>
            </w:r>
            <w:r w:rsidR="004127A1" w:rsidRPr="00AF1887">
              <w:t xml:space="preserve">Analyze and review state and federal legislation, including legislative bill analyses prepared by </w:t>
            </w:r>
            <w:r w:rsidR="004127A1">
              <w:t>Branch</w:t>
            </w:r>
            <w:r w:rsidR="004127A1" w:rsidRPr="00AF1887">
              <w:t xml:space="preserve"> staff, to advise the Deputy Director </w:t>
            </w:r>
            <w:r w:rsidR="00870CC0" w:rsidRPr="00AF1887">
              <w:t>and</w:t>
            </w:r>
            <w:r w:rsidR="00870CC0">
              <w:t>/</w:t>
            </w:r>
            <w:r w:rsidR="004127A1" w:rsidRPr="00AF1887">
              <w:t xml:space="preserve">or the Assistant Deputy Director regarding programmatic impact.  Coordinate the </w:t>
            </w:r>
            <w:r w:rsidR="004127A1">
              <w:t>implementation</w:t>
            </w:r>
            <w:r w:rsidR="004127A1" w:rsidRPr="00AF1887">
              <w:t xml:space="preserve"> of new legislation and program proposals.  Participate in the DHCS annual budget process </w:t>
            </w:r>
            <w:r w:rsidR="004127A1">
              <w:t xml:space="preserve">that includes the </w:t>
            </w:r>
            <w:r w:rsidR="004127A1" w:rsidRPr="00AF1887">
              <w:t xml:space="preserve">review of budget change </w:t>
            </w:r>
            <w:r w:rsidR="004127A1">
              <w:t xml:space="preserve">concepts, budget change </w:t>
            </w:r>
            <w:r w:rsidR="004127A1" w:rsidRPr="00AF1887">
              <w:t>proposals</w:t>
            </w:r>
            <w:r w:rsidR="004127A1">
              <w:t xml:space="preserve">, and Medi-Cal estimate assumptions. </w:t>
            </w:r>
          </w:p>
          <w:p w14:paraId="2CD68B37" w14:textId="77777777" w:rsidR="004127A1" w:rsidRDefault="004127A1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</w:p>
          <w:p w14:paraId="3DA7994B" w14:textId="3F599225" w:rsidR="00AF1887" w:rsidRDefault="00723B92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  <w:r>
              <w:t>15</w:t>
            </w:r>
            <w:bookmarkStart w:id="3" w:name="_GoBack"/>
            <w:bookmarkEnd w:id="3"/>
            <w:r w:rsidR="00CE275B">
              <w:t>%</w:t>
            </w:r>
            <w:r w:rsidR="00CE275B">
              <w:tab/>
            </w:r>
            <w:r w:rsidR="004127A1" w:rsidRPr="00AF1887">
              <w:t>Staff development, succession planning, and process improvement initiatives.</w:t>
            </w:r>
            <w:r w:rsidR="004127A1">
              <w:t xml:space="preserve"> E</w:t>
            </w:r>
            <w:r w:rsidR="004127A1" w:rsidRPr="00CE275B">
              <w:t xml:space="preserve">valuate human resource needs; establish and </w:t>
            </w:r>
            <w:r w:rsidR="004127A1">
              <w:t xml:space="preserve">operationalize sound </w:t>
            </w:r>
            <w:r w:rsidR="004127A1" w:rsidRPr="00CE275B">
              <w:t>personnel management techniques</w:t>
            </w:r>
            <w:r w:rsidR="004127A1">
              <w:t xml:space="preserve">; </w:t>
            </w:r>
            <w:r w:rsidR="004127A1" w:rsidRPr="00CE275B">
              <w:t>effective problem solving; training audit staff; electronic data processing; budget and fiscal management</w:t>
            </w:r>
            <w:r w:rsidR="004127A1">
              <w:t xml:space="preserve">; </w:t>
            </w:r>
            <w:r w:rsidR="004127A1" w:rsidRPr="00CE275B">
              <w:t>and meeting the Department’s Equal Employment Opportunity</w:t>
            </w:r>
            <w:r w:rsidR="004127A1">
              <w:t xml:space="preserve"> </w:t>
            </w:r>
            <w:r w:rsidR="004127A1" w:rsidRPr="00CE275B">
              <w:t>objectives.</w:t>
            </w:r>
          </w:p>
          <w:p w14:paraId="61B0A3B1" w14:textId="77777777" w:rsidR="00AF1887" w:rsidRDefault="00AF1887" w:rsidP="00AF1887">
            <w:pPr>
              <w:pStyle w:val="Fill-in"/>
              <w:tabs>
                <w:tab w:val="left" w:pos="1980"/>
              </w:tabs>
              <w:ind w:left="1980" w:hanging="1980"/>
              <w:jc w:val="left"/>
            </w:pPr>
          </w:p>
        </w:tc>
      </w:tr>
      <w:tr w:rsidR="003B01EF" w14:paraId="2E2F6D55" w14:textId="77777777" w:rsidTr="00774CE5">
        <w:trPr>
          <w:trHeight w:val="951"/>
        </w:trPr>
        <w:tc>
          <w:tcPr>
            <w:tcW w:w="113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48" w:type="dxa"/>
            </w:tcMar>
          </w:tcPr>
          <w:p w14:paraId="0C339465" w14:textId="77777777" w:rsidR="003B01EF" w:rsidRDefault="003B01EF">
            <w:pPr>
              <w:pStyle w:val="Fill-in"/>
              <w:tabs>
                <w:tab w:val="left" w:pos="19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Percent of Time</w:t>
            </w:r>
            <w:r>
              <w:rPr>
                <w:b/>
                <w:bCs/>
              </w:rPr>
              <w:tab/>
              <w:t>Marginal Functions</w:t>
            </w:r>
          </w:p>
          <w:p w14:paraId="31D0B152" w14:textId="77777777" w:rsidR="003B01EF" w:rsidRDefault="00AF1887" w:rsidP="004127A1">
            <w:pPr>
              <w:pStyle w:val="Fill-in"/>
              <w:tabs>
                <w:tab w:val="left" w:pos="1980"/>
              </w:tabs>
              <w:spacing w:before="120"/>
              <w:ind w:left="1987" w:hanging="1987"/>
            </w:pPr>
            <w:r>
              <w:t>5%</w:t>
            </w:r>
            <w:r>
              <w:tab/>
            </w:r>
            <w:r w:rsidRPr="00AF1887">
              <w:t xml:space="preserve">Other duties as may be assigned by the A&amp;I Deputy Director, or the Assistant Deputy Director. Serve in an </w:t>
            </w:r>
            <w:r w:rsidR="006F3B1B">
              <w:t>a</w:t>
            </w:r>
            <w:r w:rsidRPr="00AF1887">
              <w:t>cting capacity in the absence of the A&amp;I Deputy Director or the Assistant Deputy Director.</w:t>
            </w:r>
          </w:p>
        </w:tc>
      </w:tr>
    </w:tbl>
    <w:p w14:paraId="6C8227D9" w14:textId="77777777" w:rsidR="003B01EF" w:rsidRDefault="003B01EF">
      <w:pPr>
        <w:pStyle w:val="Heading2"/>
        <w:keepNext w:val="0"/>
        <w:sectPr w:rsidR="003B01EF" w:rsidSect="000F7065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475" w:bottom="720" w:left="475" w:header="475" w:footer="389" w:gutter="0"/>
          <w:cols w:space="720"/>
          <w:docGrid w:linePitch="360"/>
        </w:sectPr>
      </w:pPr>
    </w:p>
    <w:p w14:paraId="583FA518" w14:textId="77777777" w:rsidR="003B01EF" w:rsidRDefault="003B01EF">
      <w:pPr>
        <w:pStyle w:val="Fill-in"/>
        <w:tabs>
          <w:tab w:val="left" w:pos="2160"/>
          <w:tab w:val="left" w:pos="2208"/>
          <w:tab w:val="left" w:pos="11328"/>
        </w:tabs>
        <w:ind w:hanging="2160"/>
        <w:jc w:val="left"/>
      </w:pPr>
      <w:r>
        <w:t>1</w:t>
      </w:r>
    </w:p>
    <w:tbl>
      <w:tblPr>
        <w:tblW w:w="11328" w:type="dxa"/>
        <w:tblBorders>
          <w:top w:val="double" w:sz="6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248"/>
        <w:gridCol w:w="4080"/>
      </w:tblGrid>
      <w:tr w:rsidR="003B01EF" w14:paraId="611E6010" w14:textId="77777777" w:rsidTr="00774CE5">
        <w:trPr>
          <w:cantSplit/>
          <w:trHeight w:hRule="exact" w:val="1314"/>
        </w:trPr>
        <w:tc>
          <w:tcPr>
            <w:tcW w:w="11328" w:type="dxa"/>
            <w:gridSpan w:val="2"/>
            <w:tcBorders>
              <w:top w:val="nil"/>
              <w:bottom w:val="single" w:sz="8" w:space="0" w:color="auto"/>
            </w:tcBorders>
            <w:noWrap/>
            <w:tcMar>
              <w:right w:w="48" w:type="dxa"/>
            </w:tcMar>
            <w:vAlign w:val="bottom"/>
          </w:tcPr>
          <w:p w14:paraId="1CAD6DE6" w14:textId="141AF959" w:rsidR="003B01EF" w:rsidRDefault="00774CE5">
            <w:pPr>
              <w:pStyle w:val="Heading2"/>
            </w:pPr>
            <w:r w:rsidRPr="00774CE5">
              <w:t xml:space="preserve">This position is subject to the Department of Health Care Services’ Conflict of Interest Regulations. The incumbent is required to submit a Statement of Economic Interests (Form 700) within 30 days of assuming office, annually by April </w:t>
            </w:r>
            <w:r w:rsidR="00870CC0">
              <w:t>2nd</w:t>
            </w:r>
            <w:r w:rsidRPr="00774CE5">
              <w:t xml:space="preserve">, and within 30 days of leaving office. </w:t>
            </w:r>
          </w:p>
          <w:p w14:paraId="445DE4C6" w14:textId="77777777" w:rsidR="00774CE5" w:rsidRPr="00774CE5" w:rsidRDefault="00774CE5" w:rsidP="00774CE5"/>
        </w:tc>
      </w:tr>
      <w:tr w:rsidR="003B01EF" w14:paraId="4050357B" w14:textId="77777777">
        <w:trPr>
          <w:cantSplit/>
          <w:trHeight w:hRule="exact" w:val="720"/>
        </w:trPr>
        <w:tc>
          <w:tcPr>
            <w:tcW w:w="7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right w:w="48" w:type="dxa"/>
            </w:tcMar>
          </w:tcPr>
          <w:p w14:paraId="6558215F" w14:textId="77777777" w:rsidR="003B01EF" w:rsidRDefault="003B01EF">
            <w:pPr>
              <w:pStyle w:val="Subhead"/>
            </w:pPr>
            <w:r>
              <w:t>Employee’s signature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right w:w="48" w:type="dxa"/>
            </w:tcMar>
          </w:tcPr>
          <w:p w14:paraId="0105385F" w14:textId="77777777" w:rsidR="003B01EF" w:rsidRDefault="003B01EF">
            <w:pPr>
              <w:pStyle w:val="Subhead"/>
            </w:pPr>
            <w:r>
              <w:t>Date</w:t>
            </w:r>
          </w:p>
        </w:tc>
      </w:tr>
      <w:tr w:rsidR="003B01EF" w14:paraId="5499B5AC" w14:textId="77777777">
        <w:trPr>
          <w:cantSplit/>
          <w:trHeight w:hRule="exact" w:val="720"/>
        </w:trPr>
        <w:tc>
          <w:tcPr>
            <w:tcW w:w="72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right w:w="48" w:type="dxa"/>
            </w:tcMar>
          </w:tcPr>
          <w:p w14:paraId="60208686" w14:textId="77777777" w:rsidR="003B01EF" w:rsidRDefault="003B01EF">
            <w:pPr>
              <w:pStyle w:val="Subhead"/>
            </w:pPr>
            <w:r>
              <w:t>Supervisor’s signature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right w:w="48" w:type="dxa"/>
            </w:tcMar>
          </w:tcPr>
          <w:p w14:paraId="5AD5BBFD" w14:textId="77777777" w:rsidR="003B01EF" w:rsidRDefault="003B01EF">
            <w:pPr>
              <w:pStyle w:val="Subhead"/>
            </w:pPr>
            <w:r>
              <w:t>Date</w:t>
            </w:r>
          </w:p>
        </w:tc>
      </w:tr>
    </w:tbl>
    <w:p w14:paraId="27DB5C61" w14:textId="77777777" w:rsidR="003B01EF" w:rsidRDefault="003B01EF">
      <w:pPr>
        <w:pStyle w:val="Footer"/>
        <w:rPr>
          <w:sz w:val="4"/>
        </w:rPr>
      </w:pPr>
    </w:p>
    <w:sectPr w:rsidR="003B01EF">
      <w:headerReference w:type="default" r:id="rId16"/>
      <w:type w:val="continuous"/>
      <w:pgSz w:w="12240" w:h="15840" w:code="1"/>
      <w:pgMar w:top="720" w:right="480" w:bottom="480" w:left="480" w:header="480" w:footer="3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4F7E" w14:textId="77777777" w:rsidR="00FE17EB" w:rsidRDefault="00FE17EB">
      <w:r>
        <w:separator/>
      </w:r>
    </w:p>
  </w:endnote>
  <w:endnote w:type="continuationSeparator" w:id="0">
    <w:p w14:paraId="2B7EB55C" w14:textId="77777777" w:rsidR="00FE17EB" w:rsidRDefault="00F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D382" w14:textId="624EA92F" w:rsidR="00957C25" w:rsidRDefault="00957C25">
    <w:pPr>
      <w:pStyle w:val="Footer"/>
      <w:rPr>
        <w:sz w:val="16"/>
      </w:rPr>
    </w:pPr>
    <w:r>
      <w:t>DHCS 2388 (7/07)</w:t>
    </w:r>
    <w: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23B9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23B9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D369" w14:textId="6A939F73" w:rsidR="00957C25" w:rsidRDefault="00957C25">
    <w:pPr>
      <w:pStyle w:val="Footer"/>
      <w:rPr>
        <w:sz w:val="16"/>
      </w:rPr>
    </w:pPr>
    <w:r>
      <w:t>DHS 2388 (3/02)</w:t>
    </w:r>
    <w: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C5452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59C6" w14:textId="77777777" w:rsidR="00FE17EB" w:rsidRDefault="00FE17EB">
      <w:r>
        <w:separator/>
      </w:r>
    </w:p>
  </w:footnote>
  <w:footnote w:type="continuationSeparator" w:id="0">
    <w:p w14:paraId="6A6099CA" w14:textId="77777777" w:rsidR="00FE17EB" w:rsidRDefault="00FE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0F7D" w14:textId="77777777" w:rsidR="00957C25" w:rsidRDefault="00957C25">
    <w:pPr>
      <w:pStyle w:val="Header"/>
    </w:pPr>
    <w:r>
      <w:t xml:space="preserve">State of </w:t>
    </w:r>
    <w:smartTag w:uri="urn:schemas-microsoft-com:office:smarttags" w:element="State">
      <w:smartTag w:uri="urn:schemas-microsoft-com:office:smarttags" w:element="place">
        <w:r>
          <w:t>California</w:t>
        </w:r>
      </w:smartTag>
    </w:smartTag>
    <w:r>
      <w:t>—Health and Human Services Agency</w:t>
    </w:r>
    <w:r>
      <w:tab/>
      <w:t>Department of Health Care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20CB" w14:textId="77777777" w:rsidR="00957C25" w:rsidRDefault="00957C25">
    <w:pPr>
      <w:pStyle w:val="Header"/>
    </w:pPr>
    <w:r>
      <w:t xml:space="preserve">State of </w:t>
    </w:r>
    <w:smartTag w:uri="urn:schemas-microsoft-com:office:smarttags" w:element="State">
      <w:smartTag w:uri="urn:schemas-microsoft-com:office:smarttags" w:element="place">
        <w:r>
          <w:t>California</w:t>
        </w:r>
      </w:smartTag>
    </w:smartTag>
    <w:r>
      <w:t>—Health and Human Services Agency</w:t>
    </w:r>
    <w:r>
      <w:tab/>
      <w:t>Department of Health Services</w:t>
    </w:r>
  </w:p>
  <w:p w14:paraId="3CDBF792" w14:textId="77777777" w:rsidR="00957C25" w:rsidRDefault="0095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00B9" w14:textId="77777777" w:rsidR="00957C25" w:rsidRDefault="0095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BF"/>
    <w:multiLevelType w:val="hybridMultilevel"/>
    <w:tmpl w:val="9C70F322"/>
    <w:lvl w:ilvl="0" w:tplc="87EE3DC8">
      <w:start w:val="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00854"/>
    <w:multiLevelType w:val="hybridMultilevel"/>
    <w:tmpl w:val="C0122330"/>
    <w:lvl w:ilvl="0" w:tplc="0172D2D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8770F"/>
    <w:multiLevelType w:val="hybridMultilevel"/>
    <w:tmpl w:val="C274917C"/>
    <w:lvl w:ilvl="0" w:tplc="EFD8F2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F"/>
    <w:rsid w:val="000366DD"/>
    <w:rsid w:val="0005602D"/>
    <w:rsid w:val="000F7065"/>
    <w:rsid w:val="001311AD"/>
    <w:rsid w:val="001339A7"/>
    <w:rsid w:val="0018698A"/>
    <w:rsid w:val="001D2065"/>
    <w:rsid w:val="001E1F7D"/>
    <w:rsid w:val="00204C9F"/>
    <w:rsid w:val="00272A45"/>
    <w:rsid w:val="002F62AB"/>
    <w:rsid w:val="00334EB9"/>
    <w:rsid w:val="00364062"/>
    <w:rsid w:val="003821AD"/>
    <w:rsid w:val="003B01EF"/>
    <w:rsid w:val="003F0CDB"/>
    <w:rsid w:val="004127A1"/>
    <w:rsid w:val="004167BF"/>
    <w:rsid w:val="004913F1"/>
    <w:rsid w:val="004B3128"/>
    <w:rsid w:val="004C61F7"/>
    <w:rsid w:val="005716DF"/>
    <w:rsid w:val="005B1806"/>
    <w:rsid w:val="00636F68"/>
    <w:rsid w:val="006D5AAB"/>
    <w:rsid w:val="006F3B1B"/>
    <w:rsid w:val="007078ED"/>
    <w:rsid w:val="00723B92"/>
    <w:rsid w:val="00761D4C"/>
    <w:rsid w:val="007741A7"/>
    <w:rsid w:val="00774CE5"/>
    <w:rsid w:val="007F20A4"/>
    <w:rsid w:val="007F670B"/>
    <w:rsid w:val="00846BA4"/>
    <w:rsid w:val="008630CC"/>
    <w:rsid w:val="00870CC0"/>
    <w:rsid w:val="0089099B"/>
    <w:rsid w:val="008B22E2"/>
    <w:rsid w:val="009126B4"/>
    <w:rsid w:val="00932BD2"/>
    <w:rsid w:val="0094399A"/>
    <w:rsid w:val="00946FD9"/>
    <w:rsid w:val="00956657"/>
    <w:rsid w:val="00957C25"/>
    <w:rsid w:val="00963676"/>
    <w:rsid w:val="00964FF5"/>
    <w:rsid w:val="009C3099"/>
    <w:rsid w:val="009E6E34"/>
    <w:rsid w:val="00A00E86"/>
    <w:rsid w:val="00A24079"/>
    <w:rsid w:val="00A61377"/>
    <w:rsid w:val="00A61A67"/>
    <w:rsid w:val="00A61A9E"/>
    <w:rsid w:val="00A61AE1"/>
    <w:rsid w:val="00A80CEE"/>
    <w:rsid w:val="00AB7330"/>
    <w:rsid w:val="00AF1887"/>
    <w:rsid w:val="00AF5855"/>
    <w:rsid w:val="00B05F0A"/>
    <w:rsid w:val="00B357B9"/>
    <w:rsid w:val="00B5719E"/>
    <w:rsid w:val="00B82535"/>
    <w:rsid w:val="00BC0CB6"/>
    <w:rsid w:val="00BD7CA0"/>
    <w:rsid w:val="00C05FD0"/>
    <w:rsid w:val="00C06FD4"/>
    <w:rsid w:val="00C3145C"/>
    <w:rsid w:val="00C358B5"/>
    <w:rsid w:val="00C54523"/>
    <w:rsid w:val="00C83865"/>
    <w:rsid w:val="00CB000F"/>
    <w:rsid w:val="00CB096F"/>
    <w:rsid w:val="00CB37E6"/>
    <w:rsid w:val="00CE275B"/>
    <w:rsid w:val="00D859D7"/>
    <w:rsid w:val="00E0306B"/>
    <w:rsid w:val="00E84871"/>
    <w:rsid w:val="00F02F79"/>
    <w:rsid w:val="00F125CC"/>
    <w:rsid w:val="00F670B1"/>
    <w:rsid w:val="00F950F6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04A273E"/>
  <w15:chartTrackingRefBased/>
  <w15:docId w15:val="{FBAD6D7E-4FBB-44A8-9F28-2265755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pPr>
      <w:keepNext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paragraph" w:styleId="Heading2">
    <w:name w:val="heading 2"/>
    <w:next w:val="Normal"/>
    <w:qFormat/>
    <w:pPr>
      <w:keepNext/>
      <w:spacing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1980"/>
        <w:tab w:val="center" w:pos="3780"/>
        <w:tab w:val="center" w:pos="5760"/>
        <w:tab w:val="center" w:pos="7740"/>
        <w:tab w:val="center" w:pos="9540"/>
      </w:tabs>
      <w:spacing w:line="360" w:lineRule="auto"/>
      <w:outlineLvl w:val="3"/>
    </w:pPr>
    <w:rPr>
      <w:caps/>
      <w:vanish/>
      <w:color w:val="C0C0C0"/>
      <w:sz w:val="144"/>
    </w:rPr>
  </w:style>
  <w:style w:type="paragraph" w:styleId="Heading6">
    <w:name w:val="heading 6"/>
    <w:next w:val="Normal"/>
    <w:qFormat/>
    <w:pPr>
      <w:keepNext/>
      <w:ind w:left="8640"/>
      <w:outlineLvl w:val="5"/>
    </w:pPr>
    <w:rPr>
      <w:rFonts w:ascii="Bookman Old Style" w:hAnsi="Bookman Old Style"/>
      <w:color w:val="C0C0C0"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right" w:pos="11280"/>
      </w:tabs>
    </w:pPr>
    <w:rPr>
      <w:rFonts w:ascii="Arial" w:hAnsi="Arial" w:cs="Arial"/>
      <w:sz w:val="12"/>
    </w:rPr>
  </w:style>
  <w:style w:type="paragraph" w:styleId="Footer">
    <w:name w:val="footer"/>
    <w:pPr>
      <w:tabs>
        <w:tab w:val="right" w:pos="11280"/>
      </w:tabs>
    </w:pPr>
    <w:rPr>
      <w:rFonts w:ascii="Arial" w:hAnsi="Arial" w:cs="Arial"/>
      <w:sz w:val="12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SAMPLE">
    <w:name w:val="SAMPLE"/>
    <w:pPr>
      <w:tabs>
        <w:tab w:val="left" w:pos="1680"/>
        <w:tab w:val="left" w:pos="3360"/>
        <w:tab w:val="left" w:pos="5040"/>
        <w:tab w:val="left" w:pos="6720"/>
        <w:tab w:val="left" w:pos="8400"/>
      </w:tabs>
    </w:pPr>
    <w:rPr>
      <w:rFonts w:ascii="Bookman Old Style" w:hAnsi="Bookman Old Style"/>
      <w:vanish/>
      <w:color w:val="C0C0C0"/>
      <w:sz w:val="200"/>
    </w:rPr>
  </w:style>
  <w:style w:type="paragraph" w:customStyle="1" w:styleId="Subhead">
    <w:name w:val="Subhead"/>
    <w:pPr>
      <w:spacing w:line="180" w:lineRule="exact"/>
    </w:pPr>
    <w:rPr>
      <w:rFonts w:ascii="Arial" w:hAnsi="Arial"/>
      <w:sz w:val="14"/>
    </w:rPr>
  </w:style>
  <w:style w:type="paragraph" w:customStyle="1" w:styleId="Fill-in">
    <w:name w:val="Fill-in"/>
    <w:pPr>
      <w:jc w:val="both"/>
    </w:pPr>
    <w:rPr>
      <w:rFonts w:ascii="Arial" w:hAnsi="Arial" w:cs="Arial"/>
      <w:iCs/>
      <w:sz w:val="22"/>
      <w:szCs w:val="28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-in--Centered">
    <w:name w:val="Fill-in--Centered"/>
    <w:basedOn w:val="Fill-in"/>
    <w:pPr>
      <w:jc w:val="center"/>
    </w:pPr>
    <w:rPr>
      <w:b/>
      <w:bCs/>
      <w:noProof/>
    </w:rPr>
  </w:style>
  <w:style w:type="paragraph" w:customStyle="1" w:styleId="sidebar">
    <w:name w:val="sidebar"/>
    <w:basedOn w:val="Fill-in"/>
    <w:pPr>
      <w:tabs>
        <w:tab w:val="left" w:pos="2160"/>
      </w:tabs>
      <w:ind w:left="2160" w:hanging="2160"/>
    </w:pPr>
    <w:rPr>
      <w:rFonts w:cs="Times New Roman"/>
      <w:i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125C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125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125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119D212D112438AE25253B4D846AB" ma:contentTypeVersion="6" ma:contentTypeDescription="Create a new document." ma:contentTypeScope="" ma:versionID="d8b2dd303f3aca89335e3adc4b13fa86">
  <xsd:schema xmlns:xsd="http://www.w3.org/2001/XMLSchema" xmlns:xs="http://www.w3.org/2001/XMLSchema" xmlns:p="http://schemas.microsoft.com/office/2006/metadata/properties" xmlns:ns1="http://schemas.microsoft.com/sharepoint/v3" xmlns:ns3="73800e15-1231-4496-85b6-b6081f58c243" targetNamespace="http://schemas.microsoft.com/office/2006/metadata/properties" ma:root="true" ma:fieldsID="e0f743d3ae85aa09d22321e691bae596" ns1:_="" ns3:_="">
    <xsd:import namespace="http://schemas.microsoft.com/sharepoint/v3"/>
    <xsd:import namespace="73800e15-1231-4496-85b6-b6081f58c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escription" minOccurs="0"/>
                <xsd:element ref="ns3:Descrip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0e15-1231-4496-85b6-b6081f58c243" elementFormDefault="qualified">
    <xsd:import namespace="http://schemas.microsoft.com/office/2006/documentManagement/types"/>
    <xsd:import namespace="http://schemas.microsoft.com/office/infopath/2007/PartnerControls"/>
    <xsd:element name="Description" ma:index="7" nillable="true" ma:displayName="Description" ma:internalName="Description">
      <xsd:simpleType>
        <xsd:restriction base="dms:Text">
          <xsd:maxLength value="255"/>
        </xsd:restriction>
      </xsd:simpleType>
    </xsd:element>
    <xsd:element name="Description1" ma:index="8" nillable="true" ma:displayName="Description" ma:internalName="Descriptio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73800e15-1231-4496-85b6-b6081f58c243" xsi:nil="true"/>
    <Description1 xmlns="73800e15-1231-4496-85b6-b6081f58c24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DCD-43DC-40E3-97F6-85E4428F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00e15-1231-4496-85b6-b6081f58c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A7CC0-B361-4B12-80CA-3E4EAEE19D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4C877E-D34C-4A2A-A26A-0E181E21F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849F5-7AB0-4B1D-8F87-686363CB27D5}">
  <ds:schemaRefs>
    <ds:schemaRef ds:uri="http://schemas.microsoft.com/office/2006/documentManagement/types"/>
    <ds:schemaRef ds:uri="http://schemas.microsoft.com/office/infopath/2007/PartnerControls"/>
    <ds:schemaRef ds:uri="73800e15-1231-4496-85b6-b6081f58c24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632955-323F-4DCB-B17D-06371A7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</vt:lpstr>
    </vt:vector>
  </TitlesOfParts>
  <Company>State of California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</dc:title>
  <dc:subject>dhcs2388 - Duty Statement form</dc:subject>
  <dc:creator>Department of Health Care Services</dc:creator>
  <cp:keywords>DHCS2388,Duty Statement,personnel,intranet forms, job description, job summary, staff functions, responsibiltiy</cp:keywords>
  <cp:lastModifiedBy>Ohara, Dana (EXEC-DIR)@DHCS</cp:lastModifiedBy>
  <cp:revision>10</cp:revision>
  <cp:lastPrinted>2019-06-25T19:32:00Z</cp:lastPrinted>
  <dcterms:created xsi:type="dcterms:W3CDTF">2019-06-25T22:34:00Z</dcterms:created>
  <dcterms:modified xsi:type="dcterms:W3CDTF">2019-06-27T22:52:00Z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