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2A" w:rsidRDefault="003176CF" w:rsidP="003923D6">
      <w:pPr>
        <w:pStyle w:val="BodyText"/>
        <w:spacing w:before="8"/>
        <w:rPr>
          <w:rFonts w:ascii="Times New Roman"/>
          <w:sz w:val="8"/>
        </w:rPr>
      </w:pPr>
      <w:r>
        <w:rPr>
          <w:noProof/>
        </w:rPr>
        <mc:AlternateContent>
          <mc:Choice Requires="wps">
            <w:drawing>
              <wp:anchor distT="0" distB="0" distL="114300" distR="114300" simplePos="0" relativeHeight="503310200" behindDoc="1" locked="0" layoutInCell="1" allowOverlap="1">
                <wp:simplePos x="0" y="0"/>
                <wp:positionH relativeFrom="page">
                  <wp:posOffset>1377950</wp:posOffset>
                </wp:positionH>
                <wp:positionV relativeFrom="page">
                  <wp:posOffset>1528445</wp:posOffset>
                </wp:positionV>
                <wp:extent cx="106680" cy="106680"/>
                <wp:effectExtent l="5715" t="5715" r="11430" b="1143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581BC" id="Rectangle 21" o:spid="_x0000_s1026" style="position:absolute;margin-left:108.5pt;margin-top:120.35pt;width:8.4pt;height:8.4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ddA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" filled="f" strokeweight=".72pt">
                <w10:wrap anchorx="page" anchory="page"/>
              </v:rect>
            </w:pict>
          </mc:Fallback>
        </mc:AlternateContent>
      </w:r>
    </w:p>
    <w:tbl>
      <w:tblPr>
        <w:tblW w:w="0" w:type="auto"/>
        <w:tblInd w:w="252" w:type="dxa"/>
        <w:tblLayout w:type="fixed"/>
        <w:tblCellMar>
          <w:left w:w="0" w:type="dxa"/>
          <w:right w:w="0" w:type="dxa"/>
        </w:tblCellMar>
        <w:tblLook w:val="01E0" w:firstRow="1" w:lastRow="1" w:firstColumn="1" w:lastColumn="1" w:noHBand="0" w:noVBand="0"/>
      </w:tblPr>
      <w:tblGrid>
        <w:gridCol w:w="1677"/>
        <w:gridCol w:w="6649"/>
        <w:gridCol w:w="3002"/>
      </w:tblGrid>
      <w:tr w:rsidR="00293E2A">
        <w:trPr>
          <w:trHeight w:val="626"/>
        </w:trPr>
        <w:tc>
          <w:tcPr>
            <w:tcW w:w="11328" w:type="dxa"/>
            <w:gridSpan w:val="3"/>
            <w:tcBorders>
              <w:bottom w:val="single" w:sz="6" w:space="0" w:color="000000"/>
            </w:tcBorders>
          </w:tcPr>
          <w:p w:rsidR="00293E2A" w:rsidRDefault="002F0C46" w:rsidP="003923D6">
            <w:pPr>
              <w:pStyle w:val="TableParagraph"/>
              <w:spacing w:line="268" w:lineRule="exact"/>
              <w:ind w:left="4550" w:right="4554"/>
              <w:rPr>
                <w:b/>
                <w:sz w:val="24"/>
              </w:rPr>
            </w:pPr>
            <w:bookmarkStart w:id="0" w:name="DUTY_STATEMENT"/>
            <w:bookmarkStart w:id="1" w:name="_GoBack"/>
            <w:bookmarkEnd w:id="0"/>
            <w:r>
              <w:rPr>
                <w:b/>
                <w:sz w:val="24"/>
              </w:rPr>
              <w:t>DUTY</w:t>
            </w:r>
            <w:r>
              <w:rPr>
                <w:b/>
                <w:spacing w:val="-3"/>
                <w:sz w:val="24"/>
              </w:rPr>
              <w:t xml:space="preserve"> </w:t>
            </w:r>
            <w:r>
              <w:rPr>
                <w:b/>
                <w:sz w:val="24"/>
              </w:rPr>
              <w:t>STATEMENT</w:t>
            </w:r>
          </w:p>
        </w:tc>
      </w:tr>
      <w:bookmarkEnd w:id="1"/>
      <w:tr w:rsidR="00293E2A">
        <w:trPr>
          <w:trHeight w:val="457"/>
        </w:trPr>
        <w:tc>
          <w:tcPr>
            <w:tcW w:w="8326" w:type="dxa"/>
            <w:gridSpan w:val="2"/>
            <w:tcBorders>
              <w:top w:val="single" w:sz="6" w:space="0" w:color="000000"/>
              <w:bottom w:val="single" w:sz="4" w:space="0" w:color="000000"/>
              <w:right w:val="single" w:sz="4" w:space="0" w:color="000000"/>
            </w:tcBorders>
          </w:tcPr>
          <w:p w:rsidR="00293E2A" w:rsidRDefault="002F0C46" w:rsidP="003923D6">
            <w:pPr>
              <w:pStyle w:val="TableParagraph"/>
              <w:rPr>
                <w:sz w:val="16"/>
              </w:rPr>
            </w:pPr>
            <w:r>
              <w:rPr>
                <w:sz w:val="16"/>
              </w:rPr>
              <w:t>Class Title</w:t>
            </w:r>
          </w:p>
          <w:p w:rsidR="00293E2A" w:rsidRDefault="00CE73E5" w:rsidP="003923D6">
            <w:pPr>
              <w:pStyle w:val="TableParagraph"/>
              <w:spacing w:before="2" w:line="251" w:lineRule="exact"/>
            </w:pPr>
            <w:r>
              <w:t>Chief, Fiscal Forecasting Division (Career Executive Assignment Level B)</w:t>
            </w:r>
          </w:p>
        </w:tc>
        <w:tc>
          <w:tcPr>
            <w:tcW w:w="3002" w:type="dxa"/>
            <w:tcBorders>
              <w:top w:val="double" w:sz="2" w:space="0" w:color="000000"/>
              <w:left w:val="single" w:sz="4" w:space="0" w:color="000000"/>
              <w:bottom w:val="single" w:sz="4" w:space="0" w:color="000000"/>
            </w:tcBorders>
          </w:tcPr>
          <w:p w:rsidR="00293E2A" w:rsidRDefault="002F0C46" w:rsidP="003923D6">
            <w:pPr>
              <w:pStyle w:val="TableParagraph"/>
              <w:ind w:left="45"/>
              <w:rPr>
                <w:sz w:val="16"/>
              </w:rPr>
            </w:pPr>
            <w:r>
              <w:rPr>
                <w:sz w:val="16"/>
              </w:rPr>
              <w:t>Position Number</w:t>
            </w:r>
          </w:p>
          <w:p w:rsidR="00293E2A" w:rsidRDefault="002F0C46" w:rsidP="003923D6">
            <w:pPr>
              <w:pStyle w:val="TableParagraph"/>
              <w:spacing w:before="2" w:line="251" w:lineRule="exact"/>
              <w:ind w:left="45"/>
            </w:pPr>
            <w:r>
              <w:t>808-810-7500-001</w:t>
            </w:r>
          </w:p>
        </w:tc>
      </w:tr>
      <w:tr w:rsidR="00293E2A">
        <w:trPr>
          <w:trHeight w:val="506"/>
        </w:trPr>
        <w:tc>
          <w:tcPr>
            <w:tcW w:w="1677" w:type="dxa"/>
            <w:tcBorders>
              <w:top w:val="single" w:sz="4" w:space="0" w:color="000000"/>
              <w:bottom w:val="single" w:sz="4" w:space="0" w:color="000000"/>
            </w:tcBorders>
          </w:tcPr>
          <w:p w:rsidR="00293E2A" w:rsidRDefault="002F0C46" w:rsidP="003923D6">
            <w:pPr>
              <w:pStyle w:val="TableParagraph"/>
              <w:spacing w:line="180" w:lineRule="exact"/>
              <w:rPr>
                <w:sz w:val="16"/>
              </w:rPr>
            </w:pPr>
            <w:r>
              <w:rPr>
                <w:sz w:val="16"/>
              </w:rPr>
              <w:t>COI Classification</w:t>
            </w:r>
          </w:p>
          <w:p w:rsidR="00293E2A" w:rsidRDefault="002F0C46" w:rsidP="003923D6">
            <w:pPr>
              <w:pStyle w:val="TableParagraph"/>
              <w:spacing w:before="2"/>
              <w:ind w:left="62"/>
            </w:pPr>
            <w:r>
              <w:rPr>
                <w:noProof/>
                <w:position w:val="-2"/>
              </w:rPr>
              <w:drawing>
                <wp:inline distT="0" distB="0" distL="0" distR="0">
                  <wp:extent cx="140208" cy="1402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0208" cy="140208"/>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t>Yes</w:t>
            </w:r>
          </w:p>
        </w:tc>
        <w:tc>
          <w:tcPr>
            <w:tcW w:w="6649" w:type="dxa"/>
            <w:tcBorders>
              <w:top w:val="single" w:sz="4" w:space="0" w:color="000000"/>
              <w:bottom w:val="single" w:sz="4" w:space="0" w:color="000000"/>
            </w:tcBorders>
          </w:tcPr>
          <w:p w:rsidR="00293E2A" w:rsidRDefault="002F0C46" w:rsidP="003923D6">
            <w:pPr>
              <w:pStyle w:val="TableParagraph"/>
              <w:spacing w:before="177"/>
              <w:ind w:left="353"/>
            </w:pPr>
            <w:r>
              <w:t>No</w:t>
            </w:r>
          </w:p>
        </w:tc>
        <w:tc>
          <w:tcPr>
            <w:tcW w:w="3002" w:type="dxa"/>
            <w:tcBorders>
              <w:top w:val="single" w:sz="4" w:space="0" w:color="000000"/>
              <w:bottom w:val="single" w:sz="4" w:space="0" w:color="000000"/>
            </w:tcBorders>
          </w:tcPr>
          <w:p w:rsidR="00293E2A" w:rsidRDefault="00293E2A" w:rsidP="003923D6">
            <w:pPr>
              <w:pStyle w:val="TableParagraph"/>
              <w:ind w:left="0"/>
              <w:rPr>
                <w:rFonts w:ascii="Times New Roman"/>
                <w:sz w:val="20"/>
              </w:rPr>
            </w:pPr>
          </w:p>
        </w:tc>
      </w:tr>
      <w:tr w:rsidR="00293E2A">
        <w:trPr>
          <w:trHeight w:val="505"/>
        </w:trPr>
        <w:tc>
          <w:tcPr>
            <w:tcW w:w="1677" w:type="dxa"/>
            <w:tcBorders>
              <w:top w:val="single" w:sz="4" w:space="0" w:color="000000"/>
              <w:bottom w:val="single" w:sz="4" w:space="0" w:color="000000"/>
            </w:tcBorders>
          </w:tcPr>
          <w:p w:rsidR="00293E2A" w:rsidRDefault="002F0C46" w:rsidP="003923D6">
            <w:pPr>
              <w:pStyle w:val="TableParagraph"/>
              <w:spacing w:before="32"/>
              <w:rPr>
                <w:sz w:val="16"/>
              </w:rPr>
            </w:pPr>
            <w:r>
              <w:rPr>
                <w:sz w:val="16"/>
              </w:rPr>
              <w:t>Unit</w:t>
            </w:r>
          </w:p>
        </w:tc>
        <w:tc>
          <w:tcPr>
            <w:tcW w:w="6649" w:type="dxa"/>
            <w:tcBorders>
              <w:top w:val="single" w:sz="4" w:space="0" w:color="000000"/>
              <w:bottom w:val="single" w:sz="4" w:space="0" w:color="000000"/>
            </w:tcBorders>
          </w:tcPr>
          <w:p w:rsidR="00293E2A" w:rsidRDefault="00293E2A" w:rsidP="003923D6">
            <w:pPr>
              <w:pStyle w:val="TableParagraph"/>
              <w:ind w:left="0"/>
              <w:rPr>
                <w:rFonts w:ascii="Times New Roman"/>
                <w:sz w:val="20"/>
              </w:rPr>
            </w:pPr>
          </w:p>
        </w:tc>
        <w:tc>
          <w:tcPr>
            <w:tcW w:w="3002" w:type="dxa"/>
            <w:tcBorders>
              <w:top w:val="single" w:sz="4" w:space="0" w:color="000000"/>
              <w:bottom w:val="single" w:sz="4" w:space="0" w:color="000000"/>
            </w:tcBorders>
          </w:tcPr>
          <w:p w:rsidR="00293E2A" w:rsidRDefault="00293E2A" w:rsidP="003923D6">
            <w:pPr>
              <w:pStyle w:val="TableParagraph"/>
              <w:ind w:left="0"/>
              <w:rPr>
                <w:rFonts w:ascii="Times New Roman"/>
                <w:sz w:val="20"/>
              </w:rPr>
            </w:pPr>
          </w:p>
        </w:tc>
      </w:tr>
      <w:tr w:rsidR="00293E2A">
        <w:trPr>
          <w:trHeight w:val="506"/>
        </w:trPr>
        <w:tc>
          <w:tcPr>
            <w:tcW w:w="1677" w:type="dxa"/>
            <w:tcBorders>
              <w:top w:val="single" w:sz="4" w:space="0" w:color="000000"/>
              <w:bottom w:val="single" w:sz="4" w:space="0" w:color="000000"/>
            </w:tcBorders>
          </w:tcPr>
          <w:p w:rsidR="00293E2A" w:rsidRDefault="002F0C46" w:rsidP="003923D6">
            <w:pPr>
              <w:pStyle w:val="TableParagraph"/>
              <w:spacing w:before="32"/>
              <w:rPr>
                <w:sz w:val="16"/>
              </w:rPr>
            </w:pPr>
            <w:r>
              <w:rPr>
                <w:sz w:val="16"/>
              </w:rPr>
              <w:t>Section</w:t>
            </w:r>
          </w:p>
        </w:tc>
        <w:tc>
          <w:tcPr>
            <w:tcW w:w="6649" w:type="dxa"/>
            <w:tcBorders>
              <w:top w:val="single" w:sz="4" w:space="0" w:color="000000"/>
              <w:bottom w:val="single" w:sz="4" w:space="0" w:color="000000"/>
            </w:tcBorders>
          </w:tcPr>
          <w:p w:rsidR="00293E2A" w:rsidRDefault="00293E2A" w:rsidP="003923D6">
            <w:pPr>
              <w:pStyle w:val="TableParagraph"/>
              <w:ind w:left="0"/>
              <w:rPr>
                <w:rFonts w:ascii="Times New Roman"/>
                <w:sz w:val="20"/>
              </w:rPr>
            </w:pPr>
          </w:p>
        </w:tc>
        <w:tc>
          <w:tcPr>
            <w:tcW w:w="3002" w:type="dxa"/>
            <w:tcBorders>
              <w:top w:val="single" w:sz="4" w:space="0" w:color="000000"/>
              <w:bottom w:val="single" w:sz="4" w:space="0" w:color="000000"/>
            </w:tcBorders>
          </w:tcPr>
          <w:p w:rsidR="00293E2A" w:rsidRDefault="00293E2A" w:rsidP="003923D6">
            <w:pPr>
              <w:pStyle w:val="TableParagraph"/>
              <w:ind w:left="0"/>
              <w:rPr>
                <w:rFonts w:ascii="Times New Roman"/>
                <w:sz w:val="20"/>
              </w:rPr>
            </w:pPr>
          </w:p>
        </w:tc>
      </w:tr>
      <w:tr w:rsidR="00293E2A">
        <w:trPr>
          <w:trHeight w:val="506"/>
        </w:trPr>
        <w:tc>
          <w:tcPr>
            <w:tcW w:w="11328" w:type="dxa"/>
            <w:gridSpan w:val="3"/>
            <w:tcBorders>
              <w:top w:val="single" w:sz="4" w:space="0" w:color="000000"/>
              <w:bottom w:val="single" w:sz="4" w:space="0" w:color="000000"/>
            </w:tcBorders>
          </w:tcPr>
          <w:p w:rsidR="00293E2A" w:rsidRDefault="002F0C46" w:rsidP="003923D6">
            <w:pPr>
              <w:pStyle w:val="TableParagraph"/>
              <w:spacing w:before="32" w:line="184" w:lineRule="exact"/>
              <w:rPr>
                <w:sz w:val="16"/>
              </w:rPr>
            </w:pPr>
            <w:r>
              <w:rPr>
                <w:sz w:val="16"/>
              </w:rPr>
              <w:t>Branch</w:t>
            </w:r>
          </w:p>
          <w:p w:rsidR="00293E2A" w:rsidRDefault="00293E2A" w:rsidP="003923D6">
            <w:pPr>
              <w:pStyle w:val="TableParagraph"/>
            </w:pPr>
          </w:p>
        </w:tc>
      </w:tr>
      <w:tr w:rsidR="00293E2A">
        <w:trPr>
          <w:trHeight w:val="505"/>
        </w:trPr>
        <w:tc>
          <w:tcPr>
            <w:tcW w:w="11328" w:type="dxa"/>
            <w:gridSpan w:val="3"/>
            <w:tcBorders>
              <w:top w:val="single" w:sz="4" w:space="0" w:color="000000"/>
              <w:bottom w:val="single" w:sz="4" w:space="0" w:color="000000"/>
            </w:tcBorders>
          </w:tcPr>
          <w:p w:rsidR="00293E2A" w:rsidRDefault="002F0C46" w:rsidP="003923D6">
            <w:pPr>
              <w:pStyle w:val="TableParagraph"/>
              <w:spacing w:before="32" w:line="184" w:lineRule="exact"/>
              <w:rPr>
                <w:sz w:val="16"/>
              </w:rPr>
            </w:pPr>
            <w:r>
              <w:rPr>
                <w:sz w:val="16"/>
              </w:rPr>
              <w:t>Division</w:t>
            </w:r>
          </w:p>
          <w:p w:rsidR="00293E2A" w:rsidRDefault="00CE73E5" w:rsidP="003923D6">
            <w:pPr>
              <w:pStyle w:val="TableParagraph"/>
            </w:pPr>
            <w:r>
              <w:t>Fiscal Forecasting</w:t>
            </w:r>
            <w:r w:rsidR="002F0C46">
              <w:t xml:space="preserve"> Division</w:t>
            </w:r>
          </w:p>
        </w:tc>
      </w:tr>
      <w:tr w:rsidR="00293E2A">
        <w:trPr>
          <w:trHeight w:val="1568"/>
        </w:trPr>
        <w:tc>
          <w:tcPr>
            <w:tcW w:w="11328" w:type="dxa"/>
            <w:gridSpan w:val="3"/>
            <w:tcBorders>
              <w:top w:val="single" w:sz="4" w:space="0" w:color="000000"/>
            </w:tcBorders>
          </w:tcPr>
          <w:p w:rsidR="00293E2A" w:rsidRDefault="002F0C46" w:rsidP="003923D6">
            <w:pPr>
              <w:pStyle w:val="TableParagraph"/>
              <w:spacing w:before="201"/>
              <w:ind w:right="328"/>
            </w:pPr>
            <w:r>
              <w:t>This position requires the incumbent maintain consistent and regular attendance; communicate effectively (orally and in writing) in dealing with the public and/or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tc>
      </w:tr>
      <w:tr w:rsidR="00293E2A" w:rsidTr="00E133A8">
        <w:trPr>
          <w:trHeight w:val="2208"/>
        </w:trPr>
        <w:tc>
          <w:tcPr>
            <w:tcW w:w="11328" w:type="dxa"/>
            <w:gridSpan w:val="3"/>
          </w:tcPr>
          <w:p w:rsidR="00293E2A" w:rsidRDefault="002F0C46" w:rsidP="003923D6">
            <w:pPr>
              <w:pStyle w:val="TableParagraph"/>
              <w:spacing w:before="97"/>
              <w:ind w:right="47"/>
            </w:pPr>
            <w:r>
              <w:rPr>
                <w:b/>
              </w:rPr>
              <w:t xml:space="preserve">Job Summary: </w:t>
            </w:r>
            <w:r>
              <w:t xml:space="preserve">The Chief plans, organizes, and directs the activities of the Fiscal Forecasting </w:t>
            </w:r>
            <w:r w:rsidR="00CE73E5">
              <w:t>Division (FFD</w:t>
            </w:r>
            <w:r>
              <w:t>). The Chief, FF</w:t>
            </w:r>
            <w:r w:rsidR="00CE73E5">
              <w:t>D</w:t>
            </w:r>
            <w:r>
              <w:t>, is responsible for all functions of the branch, including (1) preparation of assumptions and estimates for current year and budget year for (a) the Medi-Cal Program and (b)</w:t>
            </w:r>
            <w:r w:rsidR="003923D6">
              <w:t xml:space="preserve"> </w:t>
            </w:r>
            <w:r>
              <w:t>Family Health consisting of California Children</w:t>
            </w:r>
            <w:r w:rsidR="00CE73E5">
              <w:t>’</w:t>
            </w:r>
            <w:r>
              <w:t>s Services, Genetically Handicapped Persons Program</w:t>
            </w:r>
            <w:r w:rsidR="00847DC0">
              <w:t>, and Every Woman Counts</w:t>
            </w:r>
            <w:r>
              <w:t>; (2) fiscal analyses of all legislative bills, regulation changes, proposed policy changes, and federal Medicaid changes potentially impacting Medi-Cal and Family Health local assistance expenditures; (3) preparation of Medicaid federal grant award requests and supplements; (4) monitoring actual versus budgeted Medi-Cal expenditures and advising the Director of the need for any corrective actions</w:t>
            </w:r>
            <w:r w:rsidR="000561C6">
              <w:t xml:space="preserve">. </w:t>
            </w:r>
          </w:p>
        </w:tc>
      </w:tr>
      <w:tr w:rsidR="00293E2A">
        <w:trPr>
          <w:trHeight w:val="490"/>
        </w:trPr>
        <w:tc>
          <w:tcPr>
            <w:tcW w:w="11328" w:type="dxa"/>
            <w:gridSpan w:val="3"/>
          </w:tcPr>
          <w:p w:rsidR="00293E2A" w:rsidRDefault="002F0C46" w:rsidP="003923D6">
            <w:pPr>
              <w:pStyle w:val="TableParagraph"/>
              <w:spacing w:before="121"/>
            </w:pPr>
            <w:r>
              <w:rPr>
                <w:b/>
              </w:rPr>
              <w:t xml:space="preserve">Supervision Received: </w:t>
            </w:r>
            <w:r>
              <w:t>General direction from the Deputy Director</w:t>
            </w:r>
            <w:r w:rsidR="000561C6">
              <w:t xml:space="preserve"> </w:t>
            </w:r>
            <w:r w:rsidR="00F365DD">
              <w:t>/</w:t>
            </w:r>
            <w:r w:rsidR="000561C6">
              <w:t xml:space="preserve"> C</w:t>
            </w:r>
            <w:r w:rsidR="00F365DD">
              <w:t xml:space="preserve">hief </w:t>
            </w:r>
            <w:r w:rsidR="000561C6">
              <w:t>F</w:t>
            </w:r>
            <w:r w:rsidR="00F365DD">
              <w:t xml:space="preserve">inancial </w:t>
            </w:r>
            <w:r w:rsidR="000561C6">
              <w:t>O</w:t>
            </w:r>
            <w:r w:rsidR="00F365DD">
              <w:t>fficer (CFO)</w:t>
            </w:r>
            <w:r w:rsidR="000561C6">
              <w:t>, Fiscal</w:t>
            </w:r>
            <w:r>
              <w:t>.</w:t>
            </w:r>
          </w:p>
        </w:tc>
      </w:tr>
      <w:tr w:rsidR="00293E2A" w:rsidTr="00E133A8">
        <w:trPr>
          <w:trHeight w:val="768"/>
        </w:trPr>
        <w:tc>
          <w:tcPr>
            <w:tcW w:w="11328" w:type="dxa"/>
            <w:gridSpan w:val="3"/>
          </w:tcPr>
          <w:p w:rsidR="00293E2A" w:rsidRDefault="002F0C46" w:rsidP="003923D6">
            <w:pPr>
              <w:pStyle w:val="TableParagraph"/>
              <w:spacing w:before="110" w:line="242" w:lineRule="auto"/>
              <w:ind w:right="328"/>
            </w:pPr>
            <w:r>
              <w:rPr>
                <w:b/>
              </w:rPr>
              <w:t xml:space="preserve">Supervision Exercised: </w:t>
            </w:r>
            <w:r>
              <w:t>Directly supervises t</w:t>
            </w:r>
            <w:r w:rsidR="00CE73E5">
              <w:t>hree</w:t>
            </w:r>
            <w:r>
              <w:t xml:space="preserve"> (</w:t>
            </w:r>
            <w:r w:rsidR="00CE73E5">
              <w:t>3</w:t>
            </w:r>
            <w:r>
              <w:t>) Staff Services Manager IIIs</w:t>
            </w:r>
            <w:r w:rsidR="00CE73E5">
              <w:t xml:space="preserve"> and</w:t>
            </w:r>
            <w:r>
              <w:t xml:space="preserve"> indirectly supervises an additional </w:t>
            </w:r>
            <w:r w:rsidR="00847DC0">
              <w:t xml:space="preserve">44 </w:t>
            </w:r>
            <w:r>
              <w:t>professional staff.</w:t>
            </w:r>
          </w:p>
        </w:tc>
      </w:tr>
      <w:tr w:rsidR="00293E2A" w:rsidTr="00E133A8">
        <w:trPr>
          <w:trHeight w:val="1020"/>
        </w:trPr>
        <w:tc>
          <w:tcPr>
            <w:tcW w:w="11328" w:type="dxa"/>
            <w:gridSpan w:val="3"/>
          </w:tcPr>
          <w:p w:rsidR="00293E2A" w:rsidRDefault="002F0C46" w:rsidP="003923D6">
            <w:pPr>
              <w:pStyle w:val="TableParagraph"/>
              <w:spacing w:before="122"/>
            </w:pPr>
            <w:r>
              <w:rPr>
                <w:b/>
              </w:rPr>
              <w:t xml:space="preserve">Description of Duties: </w:t>
            </w:r>
            <w:r>
              <w:t>The Chief, FF</w:t>
            </w:r>
            <w:r w:rsidR="00CE73E5">
              <w:t>D</w:t>
            </w:r>
            <w:r>
              <w:t xml:space="preserve">, must have strong communication and management skills, be decisive and able to present logical and convincing arguments, and have </w:t>
            </w:r>
            <w:r w:rsidR="00F365DD">
              <w:t xml:space="preserve">strong technical skills including </w:t>
            </w:r>
            <w:r>
              <w:t xml:space="preserve">statistical forecasting techniques. An understanding of </w:t>
            </w:r>
            <w:r w:rsidR="00F365DD">
              <w:t xml:space="preserve">financial </w:t>
            </w:r>
            <w:r>
              <w:t xml:space="preserve">data processing </w:t>
            </w:r>
            <w:r w:rsidR="00F365DD">
              <w:t xml:space="preserve">systems </w:t>
            </w:r>
            <w:r>
              <w:t xml:space="preserve">and information technology is also </w:t>
            </w:r>
            <w:r w:rsidR="00F365DD">
              <w:t>preferred</w:t>
            </w:r>
            <w:r>
              <w:t>.</w:t>
            </w:r>
          </w:p>
        </w:tc>
      </w:tr>
      <w:tr w:rsidR="00293E2A">
        <w:trPr>
          <w:trHeight w:val="3020"/>
        </w:trPr>
        <w:tc>
          <w:tcPr>
            <w:tcW w:w="11328" w:type="dxa"/>
            <w:gridSpan w:val="3"/>
          </w:tcPr>
          <w:p w:rsidR="00293E2A" w:rsidRDefault="00293E2A" w:rsidP="003923D6">
            <w:pPr>
              <w:pStyle w:val="TableParagraph"/>
              <w:spacing w:before="6"/>
              <w:ind w:left="0"/>
              <w:rPr>
                <w:rFonts w:ascii="Times New Roman"/>
                <w:sz w:val="20"/>
              </w:rPr>
            </w:pPr>
          </w:p>
          <w:p w:rsidR="00293E2A" w:rsidRDefault="002F0C46" w:rsidP="003923D6">
            <w:pPr>
              <w:pStyle w:val="TableParagraph"/>
              <w:tabs>
                <w:tab w:val="left" w:pos="2027"/>
              </w:tabs>
              <w:rPr>
                <w:b/>
              </w:rPr>
            </w:pPr>
            <w:r>
              <w:rPr>
                <w:b/>
              </w:rPr>
              <w:t>Percent of Time</w:t>
            </w:r>
            <w:r>
              <w:rPr>
                <w:b/>
              </w:rPr>
              <w:tab/>
              <w:t>Essential</w:t>
            </w:r>
            <w:r>
              <w:rPr>
                <w:b/>
                <w:spacing w:val="-1"/>
              </w:rPr>
              <w:t xml:space="preserve"> </w:t>
            </w:r>
            <w:r>
              <w:rPr>
                <w:b/>
              </w:rPr>
              <w:t>Functions</w:t>
            </w:r>
          </w:p>
          <w:p w:rsidR="00293E2A" w:rsidRDefault="002F0C46" w:rsidP="003923D6">
            <w:pPr>
              <w:pStyle w:val="TableParagraph"/>
              <w:tabs>
                <w:tab w:val="left" w:pos="2018"/>
              </w:tabs>
              <w:spacing w:before="1"/>
              <w:ind w:left="2006" w:right="49" w:hanging="1959"/>
            </w:pPr>
            <w:r>
              <w:t>25%</w:t>
            </w:r>
            <w:r>
              <w:tab/>
            </w:r>
            <w:r>
              <w:tab/>
              <w:t xml:space="preserve">Coordinate, review, and present </w:t>
            </w:r>
            <w:r w:rsidR="00F365DD">
              <w:t xml:space="preserve">the </w:t>
            </w:r>
            <w:r>
              <w:t xml:space="preserve">Medi-Cal and Family Health </w:t>
            </w:r>
            <w:r w:rsidR="00F365DD">
              <w:t xml:space="preserve">estimates including </w:t>
            </w:r>
            <w:r>
              <w:t xml:space="preserve">assumptions and expenditure forecasts to the Director, Chief Deputy Directors, Deputy Directors, program managers, and the Deputy Secretary of the California Health and Human Services Agency (CHHSA) to establish budget levels and aid in policy decisions necessary for controlling program costs.  Facilitate and coordinate the resolution of controversies with the Department of Finance </w:t>
            </w:r>
            <w:r w:rsidR="00CE73E5">
              <w:t xml:space="preserve">(DOF) </w:t>
            </w:r>
            <w:r>
              <w:t>on the Assumptions and Estimates. Maintain liaison with the Legislative Analyst's Office, and assure coordination with other departments on overlapping areas of the estimates. Ensure that the most sophisticated and accurate forecasting models and systems available are utilized in</w:t>
            </w:r>
            <w:r>
              <w:rPr>
                <w:spacing w:val="-32"/>
              </w:rPr>
              <w:t xml:space="preserve"> </w:t>
            </w:r>
            <w:r>
              <w:t>the</w:t>
            </w:r>
            <w:r w:rsidR="00CE73E5">
              <w:t xml:space="preserve"> </w:t>
            </w:r>
            <w:r>
              <w:t>preparation of the estimates. Ensure effective administration of the Cost Control Plan for county administrative expenses associated with Medi-Cal eligibility determination.</w:t>
            </w:r>
          </w:p>
          <w:p w:rsidR="003923D6" w:rsidRDefault="003923D6" w:rsidP="003923D6">
            <w:pPr>
              <w:pStyle w:val="TableParagraph"/>
              <w:tabs>
                <w:tab w:val="left" w:pos="2018"/>
              </w:tabs>
              <w:spacing w:before="1"/>
              <w:ind w:left="2006" w:right="49" w:hanging="1959"/>
            </w:pPr>
          </w:p>
          <w:p w:rsidR="003923D6" w:rsidRDefault="003923D6" w:rsidP="003923D6">
            <w:pPr>
              <w:pStyle w:val="TableParagraph"/>
              <w:tabs>
                <w:tab w:val="left" w:pos="2018"/>
              </w:tabs>
              <w:spacing w:before="1"/>
              <w:ind w:left="2006" w:right="49" w:hanging="1959"/>
            </w:pPr>
          </w:p>
        </w:tc>
      </w:tr>
    </w:tbl>
    <w:p w:rsidR="00293E2A" w:rsidRDefault="00293E2A" w:rsidP="003923D6">
      <w:pPr>
        <w:spacing w:line="254" w:lineRule="exact"/>
        <w:sectPr w:rsidR="00293E2A">
          <w:headerReference w:type="default" r:id="rId7"/>
          <w:footerReference w:type="default" r:id="rId8"/>
          <w:type w:val="continuous"/>
          <w:pgSz w:w="12240" w:h="15840"/>
          <w:pgMar w:top="960" w:right="240" w:bottom="560" w:left="180" w:header="416" w:footer="368" w:gutter="0"/>
          <w:pgNumType w:start="1"/>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1615"/>
      </w:tblGrid>
      <w:tr w:rsidR="00293E2A">
        <w:trPr>
          <w:trHeight w:val="8344"/>
        </w:trPr>
        <w:tc>
          <w:tcPr>
            <w:tcW w:w="11615" w:type="dxa"/>
          </w:tcPr>
          <w:p w:rsidR="00293E2A" w:rsidRDefault="002F0C46" w:rsidP="003923D6">
            <w:pPr>
              <w:pStyle w:val="TableParagraph"/>
              <w:tabs>
                <w:tab w:val="left" w:pos="1925"/>
              </w:tabs>
              <w:ind w:left="2179" w:right="418" w:hanging="1980"/>
            </w:pPr>
            <w:r>
              <w:lastRenderedPageBreak/>
              <w:t>15%</w:t>
            </w:r>
            <w:r>
              <w:tab/>
            </w:r>
            <w:r w:rsidR="00CE73E5">
              <w:t xml:space="preserve">    </w:t>
            </w:r>
            <w:r>
              <w:t>Advise department management on the current Medi-Cal and Family Health expenditure levels, trends, and potential fiscal impact of proposed program changes, including assuring the integrity and reliability of</w:t>
            </w:r>
            <w:r w:rsidR="00CE73E5">
              <w:t xml:space="preserve"> fiscal analyses prepared by FFD</w:t>
            </w:r>
            <w:r>
              <w:t>.</w:t>
            </w:r>
          </w:p>
          <w:p w:rsidR="00293E2A" w:rsidRDefault="00293E2A" w:rsidP="003923D6">
            <w:pPr>
              <w:pStyle w:val="TableParagraph"/>
              <w:spacing w:before="5"/>
              <w:ind w:left="0"/>
              <w:rPr>
                <w:rFonts w:ascii="Times New Roman"/>
                <w:sz w:val="21"/>
              </w:rPr>
            </w:pPr>
          </w:p>
          <w:p w:rsidR="00293E2A" w:rsidRDefault="002F0C46" w:rsidP="003923D6">
            <w:pPr>
              <w:pStyle w:val="TableParagraph"/>
              <w:tabs>
                <w:tab w:val="left" w:pos="2232"/>
              </w:tabs>
              <w:spacing w:line="252" w:lineRule="exact"/>
              <w:ind w:left="200"/>
            </w:pPr>
            <w:r>
              <w:t>10%</w:t>
            </w:r>
            <w:r>
              <w:tab/>
              <w:t>Prov</w:t>
            </w:r>
            <w:r w:rsidR="00CE73E5">
              <w:t>ide overall direction to the FFD</w:t>
            </w:r>
            <w:r>
              <w:t>, including the formulation of goals</w:t>
            </w:r>
            <w:r>
              <w:rPr>
                <w:spacing w:val="-12"/>
              </w:rPr>
              <w:t xml:space="preserve"> </w:t>
            </w:r>
            <w:r>
              <w:t>and</w:t>
            </w:r>
            <w:r w:rsidR="00CE73E5">
              <w:t xml:space="preserve"> </w:t>
            </w:r>
          </w:p>
          <w:p w:rsidR="00293E2A" w:rsidRDefault="002F0C46" w:rsidP="003923D6">
            <w:pPr>
              <w:pStyle w:val="TableParagraph"/>
              <w:ind w:left="2180" w:right="451" w:firstLine="38"/>
            </w:pPr>
            <w:r>
              <w:t>objectives, establishment and update of priorities; hiring, organizing, evaluating, motivating and training staff; and generally assure maximum effective utilization of staff and information technology resources.</w:t>
            </w:r>
          </w:p>
          <w:p w:rsidR="00293E2A" w:rsidRDefault="00293E2A" w:rsidP="003923D6">
            <w:pPr>
              <w:pStyle w:val="TableParagraph"/>
              <w:ind w:left="0"/>
              <w:rPr>
                <w:rFonts w:ascii="Times New Roman"/>
              </w:rPr>
            </w:pPr>
          </w:p>
          <w:p w:rsidR="00293E2A" w:rsidRDefault="002F0C46" w:rsidP="003923D6">
            <w:pPr>
              <w:pStyle w:val="TableParagraph"/>
              <w:tabs>
                <w:tab w:val="left" w:pos="2172"/>
              </w:tabs>
              <w:spacing w:before="1"/>
              <w:ind w:left="2180" w:right="890" w:hanging="1981"/>
            </w:pPr>
            <w:r>
              <w:t>10%</w:t>
            </w:r>
            <w:r>
              <w:tab/>
              <w:t xml:space="preserve">Coordinate the development and final resolution of Medi-Cal program assumptions and the budget with </w:t>
            </w:r>
            <w:r w:rsidR="00CE73E5">
              <w:t>Departmental</w:t>
            </w:r>
            <w:r>
              <w:t xml:space="preserve"> management, CHHSA, and </w:t>
            </w:r>
            <w:r w:rsidR="00CE73E5">
              <w:t>DOF</w:t>
            </w:r>
            <w:r>
              <w:t>. Provide technical assistance to CHHSA and the Governor's Office regarding the impact of policy decisions.</w:t>
            </w:r>
          </w:p>
          <w:p w:rsidR="00293E2A" w:rsidRDefault="00293E2A" w:rsidP="003923D6">
            <w:pPr>
              <w:pStyle w:val="TableParagraph"/>
              <w:spacing w:before="10"/>
              <w:ind w:left="0"/>
              <w:rPr>
                <w:rFonts w:ascii="Times New Roman"/>
                <w:sz w:val="21"/>
              </w:rPr>
            </w:pPr>
          </w:p>
          <w:p w:rsidR="00293E2A" w:rsidRDefault="002F0C46" w:rsidP="003923D6">
            <w:pPr>
              <w:pStyle w:val="TableParagraph"/>
              <w:tabs>
                <w:tab w:val="left" w:pos="2231"/>
              </w:tabs>
              <w:spacing w:before="1"/>
              <w:ind w:left="2180" w:right="220" w:hanging="1980"/>
            </w:pPr>
            <w:r>
              <w:t>10%</w:t>
            </w:r>
            <w:r>
              <w:tab/>
              <w:t xml:space="preserve">Identify new forecasting and information needs, </w:t>
            </w:r>
            <w:r w:rsidR="00CE73E5">
              <w:t>conceptualize</w:t>
            </w:r>
            <w:r>
              <w:t xml:space="preserve"> alternative models and systems to meet those needs, guide staff in the use of more complex statistical procedures, and assure sound research, development and implementation of selected</w:t>
            </w:r>
            <w:r>
              <w:rPr>
                <w:spacing w:val="-4"/>
              </w:rPr>
              <w:t xml:space="preserve"> </w:t>
            </w:r>
            <w:r>
              <w:t>approaches.</w:t>
            </w:r>
          </w:p>
          <w:p w:rsidR="00293E2A" w:rsidRDefault="00293E2A" w:rsidP="003923D6">
            <w:pPr>
              <w:pStyle w:val="TableParagraph"/>
              <w:spacing w:before="1"/>
              <w:ind w:left="0"/>
              <w:rPr>
                <w:rFonts w:ascii="Times New Roman"/>
              </w:rPr>
            </w:pPr>
          </w:p>
          <w:p w:rsidR="00293E2A" w:rsidRDefault="002F0C46" w:rsidP="003923D6">
            <w:pPr>
              <w:pStyle w:val="TableParagraph"/>
              <w:tabs>
                <w:tab w:val="left" w:pos="2170"/>
              </w:tabs>
              <w:spacing w:line="253" w:lineRule="exact"/>
              <w:ind w:left="200"/>
            </w:pPr>
            <w:r>
              <w:t>10%</w:t>
            </w:r>
            <w:r>
              <w:tab/>
              <w:t xml:space="preserve">Establish and maintain frequent on-going liaison with </w:t>
            </w:r>
            <w:r w:rsidR="00CE73E5">
              <w:t xml:space="preserve">DOF and the Legislative Analyst’s </w:t>
            </w:r>
          </w:p>
          <w:p w:rsidR="00293E2A" w:rsidRDefault="002F0C46" w:rsidP="003923D6">
            <w:pPr>
              <w:pStyle w:val="TableParagraph"/>
              <w:ind w:left="2180" w:hanging="22"/>
            </w:pPr>
            <w:r>
              <w:t>Office, providing prompt and accurate responses to their informational requests.</w:t>
            </w:r>
          </w:p>
          <w:p w:rsidR="00293E2A" w:rsidRDefault="00293E2A" w:rsidP="003923D6">
            <w:pPr>
              <w:pStyle w:val="TableParagraph"/>
              <w:spacing w:before="11"/>
              <w:ind w:left="0"/>
              <w:rPr>
                <w:rFonts w:ascii="Times New Roman"/>
                <w:sz w:val="21"/>
              </w:rPr>
            </w:pPr>
          </w:p>
          <w:p w:rsidR="00293E2A" w:rsidRDefault="002F0C46" w:rsidP="003923D6">
            <w:pPr>
              <w:pStyle w:val="TableParagraph"/>
              <w:tabs>
                <w:tab w:val="left" w:pos="2170"/>
              </w:tabs>
              <w:ind w:left="2158" w:right="1092" w:hanging="1959"/>
            </w:pPr>
            <w:r>
              <w:t>10%</w:t>
            </w:r>
            <w:r>
              <w:tab/>
            </w:r>
            <w:r>
              <w:tab/>
              <w:t xml:space="preserve">Provide technical support services and statistical consultation </w:t>
            </w:r>
            <w:r w:rsidR="00F365DD">
              <w:t>in support of the DHCS</w:t>
            </w:r>
            <w:r>
              <w:t xml:space="preserve"> program</w:t>
            </w:r>
            <w:r w:rsidR="00F365DD">
              <w:t>s</w:t>
            </w:r>
            <w:r>
              <w:t>, performing special studies, and providing extensive support on the</w:t>
            </w:r>
            <w:r>
              <w:rPr>
                <w:spacing w:val="-38"/>
              </w:rPr>
              <w:t xml:space="preserve"> </w:t>
            </w:r>
            <w:r>
              <w:t>statistical aspects of disputes regarding federal financial participation</w:t>
            </w:r>
            <w:r>
              <w:rPr>
                <w:spacing w:val="-10"/>
              </w:rPr>
              <w:t xml:space="preserve"> </w:t>
            </w:r>
            <w:r>
              <w:t>claims.</w:t>
            </w:r>
          </w:p>
          <w:p w:rsidR="00293E2A" w:rsidRDefault="00293E2A" w:rsidP="003923D6">
            <w:pPr>
              <w:pStyle w:val="TableParagraph"/>
              <w:ind w:left="0"/>
              <w:rPr>
                <w:rFonts w:ascii="Times New Roman"/>
              </w:rPr>
            </w:pPr>
          </w:p>
          <w:p w:rsidR="00293E2A" w:rsidRDefault="002F0C46" w:rsidP="003923D6">
            <w:pPr>
              <w:pStyle w:val="TableParagraph"/>
              <w:tabs>
                <w:tab w:val="left" w:pos="2109"/>
              </w:tabs>
              <w:ind w:left="2098" w:right="663" w:hanging="1899"/>
            </w:pPr>
            <w:r>
              <w:t>5%</w:t>
            </w:r>
            <w:r>
              <w:tab/>
            </w:r>
            <w:r>
              <w:tab/>
              <w:t>Identify and resolve policy and/or procedural issues involved in the proper administration</w:t>
            </w:r>
            <w:r>
              <w:rPr>
                <w:spacing w:val="-43"/>
              </w:rPr>
              <w:t xml:space="preserve"> </w:t>
            </w:r>
            <w:r>
              <w:t>of the Cost Control Plan for county administrative expenses related to</w:t>
            </w:r>
            <w:r>
              <w:rPr>
                <w:spacing w:val="-17"/>
              </w:rPr>
              <w:t xml:space="preserve"> </w:t>
            </w:r>
            <w:r>
              <w:t>Medi-Cal</w:t>
            </w:r>
          </w:p>
          <w:p w:rsidR="00293E2A" w:rsidRDefault="002F0C46" w:rsidP="003923D6">
            <w:pPr>
              <w:pStyle w:val="TableParagraph"/>
              <w:spacing w:before="1"/>
              <w:ind w:left="2098"/>
            </w:pPr>
            <w:r>
              <w:t>eligibility determination.</w:t>
            </w:r>
          </w:p>
          <w:p w:rsidR="00293E2A" w:rsidRDefault="00293E2A" w:rsidP="003923D6">
            <w:pPr>
              <w:pStyle w:val="TableParagraph"/>
              <w:ind w:left="0"/>
              <w:rPr>
                <w:rFonts w:ascii="Times New Roman"/>
              </w:rPr>
            </w:pPr>
          </w:p>
          <w:p w:rsidR="00293E2A" w:rsidRDefault="002F0C46" w:rsidP="003923D6">
            <w:pPr>
              <w:pStyle w:val="TableParagraph"/>
              <w:tabs>
                <w:tab w:val="left" w:pos="2172"/>
              </w:tabs>
              <w:ind w:left="2158" w:right="2093" w:hanging="1959"/>
            </w:pPr>
            <w:r>
              <w:t>5%</w:t>
            </w:r>
            <w:r>
              <w:tab/>
            </w:r>
            <w:r>
              <w:tab/>
              <w:t>Prepare materials for, and participate as needed, in testimony for</w:t>
            </w:r>
            <w:r>
              <w:rPr>
                <w:spacing w:val="-35"/>
              </w:rPr>
              <w:t xml:space="preserve"> </w:t>
            </w:r>
            <w:r>
              <w:t>legislative committee hearings on the Medi-Cal local assistance</w:t>
            </w:r>
            <w:r>
              <w:rPr>
                <w:spacing w:val="-14"/>
              </w:rPr>
              <w:t xml:space="preserve"> </w:t>
            </w:r>
            <w:r>
              <w:t>budget.</w:t>
            </w:r>
          </w:p>
        </w:tc>
      </w:tr>
      <w:tr w:rsidR="00293E2A">
        <w:trPr>
          <w:trHeight w:val="758"/>
        </w:trPr>
        <w:tc>
          <w:tcPr>
            <w:tcW w:w="11615" w:type="dxa"/>
          </w:tcPr>
          <w:p w:rsidR="00293E2A" w:rsidRDefault="00293E2A">
            <w:pPr>
              <w:pStyle w:val="TableParagraph"/>
              <w:spacing w:before="6"/>
              <w:ind w:left="0"/>
              <w:rPr>
                <w:rFonts w:ascii="Times New Roman"/>
                <w:sz w:val="21"/>
              </w:rPr>
            </w:pPr>
          </w:p>
          <w:p w:rsidR="00293E2A" w:rsidRDefault="002F0C46">
            <w:pPr>
              <w:pStyle w:val="TableParagraph"/>
              <w:tabs>
                <w:tab w:val="left" w:pos="2179"/>
              </w:tabs>
              <w:spacing w:before="1"/>
              <w:ind w:left="200"/>
              <w:rPr>
                <w:b/>
              </w:rPr>
            </w:pPr>
            <w:r>
              <w:rPr>
                <w:b/>
              </w:rPr>
              <w:t>Percent of Time</w:t>
            </w:r>
            <w:r>
              <w:rPr>
                <w:b/>
              </w:rPr>
              <w:tab/>
              <w:t>Marginal</w:t>
            </w:r>
            <w:r>
              <w:rPr>
                <w:b/>
                <w:spacing w:val="-1"/>
              </w:rPr>
              <w:t xml:space="preserve"> </w:t>
            </w:r>
            <w:r>
              <w:rPr>
                <w:b/>
              </w:rPr>
              <w:t>Functions</w:t>
            </w:r>
          </w:p>
          <w:p w:rsidR="00293E2A" w:rsidRDefault="002F0C46">
            <w:pPr>
              <w:pStyle w:val="TableParagraph"/>
              <w:spacing w:before="4" w:line="233" w:lineRule="exact"/>
              <w:ind w:left="1791"/>
            </w:pPr>
            <w:r>
              <w:t>None.</w:t>
            </w:r>
          </w:p>
        </w:tc>
      </w:tr>
    </w:tbl>
    <w:p w:rsidR="00293E2A" w:rsidRDefault="00293E2A">
      <w:pPr>
        <w:pStyle w:val="BodyText"/>
        <w:rPr>
          <w:rFonts w:ascii="Times New Roman"/>
          <w:sz w:val="20"/>
        </w:rPr>
      </w:pPr>
    </w:p>
    <w:tbl>
      <w:tblPr>
        <w:tblW w:w="11328" w:type="dxa"/>
        <w:tblLayout w:type="fixed"/>
        <w:tblCellMar>
          <w:left w:w="48" w:type="dxa"/>
          <w:right w:w="48" w:type="dxa"/>
        </w:tblCellMar>
        <w:tblLook w:val="0000" w:firstRow="0" w:lastRow="0" w:firstColumn="0" w:lastColumn="0" w:noHBand="0" w:noVBand="0"/>
      </w:tblPr>
      <w:tblGrid>
        <w:gridCol w:w="11328"/>
      </w:tblGrid>
      <w:tr w:rsidR="003923D6" w:rsidTr="003923D6">
        <w:trPr>
          <w:cantSplit/>
          <w:trHeight w:hRule="exact" w:val="1233"/>
        </w:trPr>
        <w:tc>
          <w:tcPr>
            <w:tcW w:w="11328" w:type="dxa"/>
            <w:noWrap/>
            <w:tcMar>
              <w:right w:w="48" w:type="dxa"/>
            </w:tcMar>
            <w:vAlign w:val="bottom"/>
          </w:tcPr>
          <w:p w:rsidR="003923D6" w:rsidRPr="00724901" w:rsidRDefault="003923D6" w:rsidP="003923D6">
            <w:pPr>
              <w:pStyle w:val="Heading2"/>
              <w:ind w:left="225" w:right="30"/>
              <w:jc w:val="left"/>
            </w:pPr>
            <w:r w:rsidRPr="00724901">
              <w:t>This position is subject to the Department of Health Care Services’ Conflict of Interest Regulations. The incumbent is required to submit a Statement of Economic Interests (Form 700) within 30 days of assuming office, annually by April 1st, and within 30 days of leaving office.</w:t>
            </w:r>
          </w:p>
        </w:tc>
      </w:tr>
    </w:tbl>
    <w:p w:rsidR="00293E2A" w:rsidRDefault="003176CF">
      <w:pPr>
        <w:pStyle w:val="BodyText"/>
        <w:spacing w:before="1"/>
        <w:rPr>
          <w:rFonts w:ascii="Times New Roman"/>
          <w:sz w:val="19"/>
        </w:rPr>
      </w:pPr>
      <w:r>
        <w:rPr>
          <w:noProof/>
        </w:rPr>
        <mc:AlternateContent>
          <mc:Choice Requires="wpg">
            <w:drawing>
              <wp:anchor distT="0" distB="0" distL="0" distR="0" simplePos="0" relativeHeight="1168" behindDoc="0" locked="0" layoutInCell="1" allowOverlap="1">
                <wp:simplePos x="0" y="0"/>
                <wp:positionH relativeFrom="page">
                  <wp:posOffset>265430</wp:posOffset>
                </wp:positionH>
                <wp:positionV relativeFrom="paragraph">
                  <wp:posOffset>165100</wp:posOffset>
                </wp:positionV>
                <wp:extent cx="6856730" cy="897890"/>
                <wp:effectExtent l="8255" t="1905" r="12065"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897890"/>
                          <a:chOff x="418" y="260"/>
                          <a:chExt cx="11343" cy="1486"/>
                        </a:xfrm>
                      </wpg:grpSpPr>
                      <wps:wsp>
                        <wps:cNvPr id="7" name="Line 20"/>
                        <wps:cNvCnPr>
                          <a:cxnSpLocks noChangeShapeType="1"/>
                        </wps:cNvCnPr>
                        <wps:spPr bwMode="auto">
                          <a:xfrm>
                            <a:off x="432" y="269"/>
                            <a:ext cx="724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9"/>
                        <wps:cNvSpPr>
                          <a:spLocks noChangeArrowheads="1"/>
                        </wps:cNvSpPr>
                        <wps:spPr bwMode="auto">
                          <a:xfrm>
                            <a:off x="7675" y="25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8"/>
                        <wps:cNvCnPr>
                          <a:cxnSpLocks noChangeShapeType="1"/>
                        </wps:cNvCnPr>
                        <wps:spPr bwMode="auto">
                          <a:xfrm>
                            <a:off x="7694" y="269"/>
                            <a:ext cx="40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7680" y="279"/>
                            <a:ext cx="0" cy="7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432" y="989"/>
                            <a:ext cx="724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7675" y="9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4"/>
                        <wps:cNvCnPr>
                          <a:cxnSpLocks noChangeShapeType="1"/>
                        </wps:cNvCnPr>
                        <wps:spPr bwMode="auto">
                          <a:xfrm>
                            <a:off x="7694" y="989"/>
                            <a:ext cx="40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418" y="1738"/>
                            <a:ext cx="72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418" y="1709"/>
                            <a:ext cx="72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7680" y="999"/>
                            <a:ext cx="0" cy="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0"/>
                        <wps:cNvSpPr>
                          <a:spLocks noChangeArrowheads="1"/>
                        </wps:cNvSpPr>
                        <wps:spPr bwMode="auto">
                          <a:xfrm>
                            <a:off x="7675" y="170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7675" y="1730"/>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8"/>
                        <wps:cNvCnPr>
                          <a:cxnSpLocks noChangeShapeType="1"/>
                        </wps:cNvCnPr>
                        <wps:spPr bwMode="auto">
                          <a:xfrm>
                            <a:off x="7718" y="1738"/>
                            <a:ext cx="40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7718" y="1709"/>
                            <a:ext cx="40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6"/>
                        <wps:cNvSpPr txBox="1">
                          <a:spLocks noChangeArrowheads="1"/>
                        </wps:cNvSpPr>
                        <wps:spPr bwMode="auto">
                          <a:xfrm>
                            <a:off x="480" y="296"/>
                            <a:ext cx="1358"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2A" w:rsidRDefault="002F0C46">
                              <w:pPr>
                                <w:spacing w:line="156" w:lineRule="exact"/>
                                <w:rPr>
                                  <w:sz w:val="14"/>
                                </w:rPr>
                              </w:pPr>
                              <w:r>
                                <w:rPr>
                                  <w:sz w:val="14"/>
                                </w:rPr>
                                <w:t>Employee’s signature</w:t>
                              </w:r>
                            </w:p>
                          </w:txbxContent>
                        </wps:txbx>
                        <wps:bodyPr rot="0" vert="horz" wrap="square" lIns="0" tIns="0" rIns="0" bIns="0" anchor="t" anchorCtr="0" upright="1">
                          <a:noAutofit/>
                        </wps:bodyPr>
                      </wps:wsp>
                      <wps:wsp>
                        <wps:cNvPr id="22" name="Text Box 5"/>
                        <wps:cNvSpPr txBox="1">
                          <a:spLocks noChangeArrowheads="1"/>
                        </wps:cNvSpPr>
                        <wps:spPr bwMode="auto">
                          <a:xfrm>
                            <a:off x="7728" y="296"/>
                            <a:ext cx="31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2A" w:rsidRDefault="002F0C46">
                              <w:pPr>
                                <w:spacing w:line="156" w:lineRule="exact"/>
                                <w:rPr>
                                  <w:sz w:val="14"/>
                                </w:rPr>
                              </w:pPr>
                              <w:r>
                                <w:rPr>
                                  <w:sz w:val="14"/>
                                </w:rPr>
                                <w:t>Date</w:t>
                              </w:r>
                            </w:p>
                          </w:txbxContent>
                        </wps:txbx>
                        <wps:bodyPr rot="0" vert="horz" wrap="square" lIns="0" tIns="0" rIns="0" bIns="0" anchor="t" anchorCtr="0" upright="1">
                          <a:noAutofit/>
                        </wps:bodyPr>
                      </wps:wsp>
                      <wps:wsp>
                        <wps:cNvPr id="23" name="Text Box 4"/>
                        <wps:cNvSpPr txBox="1">
                          <a:spLocks noChangeArrowheads="1"/>
                        </wps:cNvSpPr>
                        <wps:spPr bwMode="auto">
                          <a:xfrm>
                            <a:off x="480" y="1016"/>
                            <a:ext cx="140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2A" w:rsidRDefault="002F0C46">
                              <w:pPr>
                                <w:spacing w:line="156" w:lineRule="exact"/>
                                <w:rPr>
                                  <w:sz w:val="14"/>
                                </w:rPr>
                              </w:pPr>
                              <w:r>
                                <w:rPr>
                                  <w:sz w:val="14"/>
                                </w:rPr>
                                <w:t>Supervisor’s signature</w:t>
                              </w:r>
                            </w:p>
                          </w:txbxContent>
                        </wps:txbx>
                        <wps:bodyPr rot="0" vert="horz" wrap="square" lIns="0" tIns="0" rIns="0" bIns="0" anchor="t" anchorCtr="0" upright="1">
                          <a:noAutofit/>
                        </wps:bodyPr>
                      </wps:wsp>
                      <wps:wsp>
                        <wps:cNvPr id="24" name="Text Box 3"/>
                        <wps:cNvSpPr txBox="1">
                          <a:spLocks noChangeArrowheads="1"/>
                        </wps:cNvSpPr>
                        <wps:spPr bwMode="auto">
                          <a:xfrm>
                            <a:off x="7728" y="1016"/>
                            <a:ext cx="31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2A" w:rsidRDefault="002F0C46">
                              <w:pPr>
                                <w:spacing w:line="156" w:lineRule="exact"/>
                                <w:rPr>
                                  <w:sz w:val="14"/>
                                </w:rPr>
                              </w:pPr>
                              <w:r>
                                <w:rPr>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9pt;margin-top:13pt;width:539.9pt;height:70.7pt;z-index:1168;mso-wrap-distance-left:0;mso-wrap-distance-right:0;mso-position-horizontal-relative:page" coordorigin="418,260" coordsize="11343,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">
                <v:line id="Line 20" o:spid="_x0000_s1027" style="position:absolute;visibility:visible;mso-wrap-style:square" from="432,269" to="767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rect id="Rectangle 19" o:spid="_x0000_s1028" style="position:absolute;left:7675;top:25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8" o:spid="_x0000_s1029" style="position:absolute;visibility:visible;mso-wrap-style:square" from="7694,269" to="1176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17" o:spid="_x0000_s1030" style="position:absolute;visibility:visible;mso-wrap-style:square" from="7680,279" to="768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6" o:spid="_x0000_s1031" style="position:absolute;visibility:visible;mso-wrap-style:square" from="432,989" to="767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rect id="Rectangle 15" o:spid="_x0000_s1032" style="position:absolute;left:7675;top:97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4" o:spid="_x0000_s1033" style="position:absolute;visibility:visible;mso-wrap-style:square" from="7694,989" to="1176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13" o:spid="_x0000_s1034" style="position:absolute;visibility:visible;mso-wrap-style:square" from="418,1738" to="7675,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2" o:spid="_x0000_s1035" style="position:absolute;visibility:visible;mso-wrap-style:square" from="418,1709" to="7675,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1" o:spid="_x0000_s1036" style="position:absolute;visibility:visible;mso-wrap-style:square" from="7680,999" to="768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0" o:spid="_x0000_s1037" style="position:absolute;left:7675;top:1702;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9" o:spid="_x0000_s1038" style="position:absolute;left:7675;top:1730;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8" o:spid="_x0000_s1039" style="position:absolute;visibility:visible;mso-wrap-style:square" from="7718,1738" to="11760,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7" o:spid="_x0000_s1040" style="position:absolute;visibility:visible;mso-wrap-style:square" from="7718,1709" to="11760,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shapetype id="_x0000_t202" coordsize="21600,21600" o:spt="202" path="m,l,21600r21600,l21600,xe">
                  <v:stroke joinstyle="miter"/>
                  <v:path gradientshapeok="t" o:connecttype="rect"/>
                </v:shapetype>
                <v:shape id="Text Box 6" o:spid="_x0000_s1041" type="#_x0000_t202" style="position:absolute;left:480;top:296;width:1358;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293E2A" w:rsidRDefault="002F0C46">
                        <w:pPr>
                          <w:spacing w:line="156" w:lineRule="exact"/>
                          <w:rPr>
                            <w:sz w:val="14"/>
                          </w:rPr>
                        </w:pPr>
                        <w:r>
                          <w:rPr>
                            <w:sz w:val="14"/>
                          </w:rPr>
                          <w:t>Employee’s signature</w:t>
                        </w:r>
                      </w:p>
                    </w:txbxContent>
                  </v:textbox>
                </v:shape>
                <v:shape id="Text Box 5" o:spid="_x0000_s1042" type="#_x0000_t202" style="position:absolute;left:7728;top:296;width:31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93E2A" w:rsidRDefault="002F0C46">
                        <w:pPr>
                          <w:spacing w:line="156" w:lineRule="exact"/>
                          <w:rPr>
                            <w:sz w:val="14"/>
                          </w:rPr>
                        </w:pPr>
                        <w:r>
                          <w:rPr>
                            <w:sz w:val="14"/>
                          </w:rPr>
                          <w:t>Date</w:t>
                        </w:r>
                      </w:p>
                    </w:txbxContent>
                  </v:textbox>
                </v:shape>
                <v:shape id="_x0000_s1043" type="#_x0000_t202" style="position:absolute;left:480;top:1016;width:140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93E2A" w:rsidRDefault="002F0C46">
                        <w:pPr>
                          <w:spacing w:line="156" w:lineRule="exact"/>
                          <w:rPr>
                            <w:sz w:val="14"/>
                          </w:rPr>
                        </w:pPr>
                        <w:r>
                          <w:rPr>
                            <w:sz w:val="14"/>
                          </w:rPr>
                          <w:t>Supervisor’s signature</w:t>
                        </w:r>
                      </w:p>
                    </w:txbxContent>
                  </v:textbox>
                </v:shape>
                <v:shape id="_x0000_s1044" type="#_x0000_t202" style="position:absolute;left:7728;top:1016;width:31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293E2A" w:rsidRDefault="002F0C46">
                        <w:pPr>
                          <w:spacing w:line="156" w:lineRule="exact"/>
                          <w:rPr>
                            <w:sz w:val="14"/>
                          </w:rPr>
                        </w:pPr>
                        <w:r>
                          <w:rPr>
                            <w:sz w:val="14"/>
                          </w:rPr>
                          <w:t>Date</w:t>
                        </w:r>
                      </w:p>
                    </w:txbxContent>
                  </v:textbox>
                </v:shape>
                <w10:wrap type="topAndBottom" anchorx="page"/>
              </v:group>
            </w:pict>
          </mc:Fallback>
        </mc:AlternateContent>
      </w:r>
    </w:p>
    <w:sectPr w:rsidR="00293E2A">
      <w:pgSz w:w="12240" w:h="15840"/>
      <w:pgMar w:top="960" w:right="240" w:bottom="560" w:left="180" w:header="416"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1A" w:rsidRDefault="00482B1A">
      <w:r>
        <w:separator/>
      </w:r>
    </w:p>
  </w:endnote>
  <w:endnote w:type="continuationSeparator" w:id="0">
    <w:p w:rsidR="00482B1A" w:rsidRDefault="0048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2A" w:rsidRDefault="003176CF">
    <w:pPr>
      <w:pStyle w:val="BodyText"/>
      <w:spacing w:line="14" w:lineRule="auto"/>
      <w:rPr>
        <w:sz w:val="20"/>
      </w:rPr>
    </w:pPr>
    <w:r>
      <w:rPr>
        <w:noProof/>
      </w:rPr>
      <mc:AlternateContent>
        <mc:Choice Requires="wps">
          <w:drawing>
            <wp:anchor distT="0" distB="0" distL="114300" distR="114300" simplePos="0" relativeHeight="503310224" behindDoc="1" locked="0" layoutInCell="1" allowOverlap="1">
              <wp:simplePos x="0" y="0"/>
              <wp:positionH relativeFrom="page">
                <wp:posOffset>6935470</wp:posOffset>
              </wp:positionH>
              <wp:positionV relativeFrom="page">
                <wp:posOffset>9685020</wp:posOffset>
              </wp:positionV>
              <wp:extent cx="547370" cy="139700"/>
              <wp:effectExtent l="127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2A" w:rsidRDefault="002F0C46">
                          <w:pPr>
                            <w:spacing w:before="15"/>
                            <w:ind w:left="20"/>
                            <w:rPr>
                              <w:sz w:val="16"/>
                            </w:rPr>
                          </w:pPr>
                          <w:r>
                            <w:rPr>
                              <w:sz w:val="16"/>
                            </w:rPr>
                            <w:t xml:space="preserve">Page </w:t>
                          </w:r>
                          <w:r>
                            <w:fldChar w:fldCharType="begin"/>
                          </w:r>
                          <w:r>
                            <w:rPr>
                              <w:sz w:val="16"/>
                            </w:rPr>
                            <w:instrText xml:space="preserve"> PAGE </w:instrText>
                          </w:r>
                          <w:r>
                            <w:fldChar w:fldCharType="separate"/>
                          </w:r>
                          <w:r w:rsidR="00617A8C">
                            <w:rPr>
                              <w:noProof/>
                              <w:sz w:val="16"/>
                            </w:rPr>
                            <w:t>1</w:t>
                          </w:r>
                          <w:r>
                            <w:fldChar w:fldCharType="end"/>
                          </w:r>
                          <w:r>
                            <w:rPr>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546.1pt;margin-top:762.6pt;width:43.1pt;height:11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ofsAIAAK8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" filled="f" stroked="f">
              <v:textbox inset="0,0,0,0">
                <w:txbxContent>
                  <w:p w:rsidR="00293E2A" w:rsidRDefault="002F0C46">
                    <w:pPr>
                      <w:spacing w:before="15"/>
                      <w:ind w:left="20"/>
                      <w:rPr>
                        <w:sz w:val="16"/>
                      </w:rPr>
                    </w:pPr>
                    <w:r>
                      <w:rPr>
                        <w:sz w:val="16"/>
                      </w:rPr>
                      <w:t xml:space="preserve">Page </w:t>
                    </w:r>
                    <w:r>
                      <w:fldChar w:fldCharType="begin"/>
                    </w:r>
                    <w:r>
                      <w:rPr>
                        <w:sz w:val="16"/>
                      </w:rPr>
                      <w:instrText xml:space="preserve"> PAGE </w:instrText>
                    </w:r>
                    <w:r>
                      <w:fldChar w:fldCharType="separate"/>
                    </w:r>
                    <w:r w:rsidR="00617A8C">
                      <w:rPr>
                        <w:noProof/>
                        <w:sz w:val="16"/>
                      </w:rPr>
                      <w:t>1</w:t>
                    </w:r>
                    <w:r>
                      <w:fldChar w:fldCharType="end"/>
                    </w:r>
                    <w:r>
                      <w:rPr>
                        <w:sz w:val="16"/>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503310248" behindDoc="1" locked="0" layoutInCell="1" allowOverlap="1">
              <wp:simplePos x="0" y="0"/>
              <wp:positionH relativeFrom="page">
                <wp:posOffset>292100</wp:posOffset>
              </wp:positionH>
              <wp:positionV relativeFrom="page">
                <wp:posOffset>9708515</wp:posOffset>
              </wp:positionV>
              <wp:extent cx="598170" cy="111125"/>
              <wp:effectExtent l="0"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2A" w:rsidRDefault="002F0C46">
                          <w:pPr>
                            <w:pStyle w:val="BodyText"/>
                            <w:spacing w:before="16"/>
                            <w:ind w:left="20"/>
                          </w:pPr>
                          <w:r>
                            <w:t>DHS 2388 (4/04)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23pt;margin-top:764.45pt;width:47.1pt;height:8.7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HSrgIAAK8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" filled="f" stroked="f">
              <v:textbox inset="0,0,0,0">
                <w:txbxContent>
                  <w:p w:rsidR="00293E2A" w:rsidRDefault="002F0C46">
                    <w:pPr>
                      <w:pStyle w:val="BodyText"/>
                      <w:spacing w:before="16"/>
                      <w:ind w:left="20"/>
                    </w:pPr>
                    <w:r>
                      <w:t>DHS 2388 (4/04)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1A" w:rsidRDefault="00482B1A">
      <w:r>
        <w:separator/>
      </w:r>
    </w:p>
  </w:footnote>
  <w:footnote w:type="continuationSeparator" w:id="0">
    <w:p w:rsidR="00482B1A" w:rsidRDefault="0048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2A" w:rsidRDefault="003176CF">
    <w:pPr>
      <w:pStyle w:val="BodyText"/>
      <w:spacing w:line="14" w:lineRule="auto"/>
      <w:rPr>
        <w:sz w:val="20"/>
      </w:rPr>
    </w:pPr>
    <w:r>
      <w:rPr>
        <w:noProof/>
      </w:rPr>
      <mc:AlternateContent>
        <mc:Choice Requires="wps">
          <w:drawing>
            <wp:anchor distT="0" distB="0" distL="114300" distR="114300" simplePos="0" relativeHeight="503310176" behindDoc="1" locked="0" layoutInCell="1" allowOverlap="1">
              <wp:simplePos x="0" y="0"/>
              <wp:positionH relativeFrom="page">
                <wp:posOffset>292100</wp:posOffset>
              </wp:positionH>
              <wp:positionV relativeFrom="page">
                <wp:posOffset>293370</wp:posOffset>
              </wp:positionV>
              <wp:extent cx="1932305" cy="111125"/>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2A" w:rsidRDefault="002F0C46">
                          <w:pPr>
                            <w:pStyle w:val="BodyText"/>
                            <w:spacing w:before="16"/>
                            <w:ind w:left="20"/>
                          </w:pPr>
                          <w:r>
                            <w:t>State of California—Health and Human Services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23pt;margin-top:23.1pt;width:152.15pt;height:8.7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umqwIAAKk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" filled="f" stroked="f">
              <v:textbox inset="0,0,0,0">
                <w:txbxContent>
                  <w:p w:rsidR="00293E2A" w:rsidRDefault="002F0C46">
                    <w:pPr>
                      <w:pStyle w:val="BodyText"/>
                      <w:spacing w:before="16"/>
                      <w:ind w:left="20"/>
                    </w:pPr>
                    <w:r>
                      <w:t>State of California—Health and Human Services Agency</w:t>
                    </w:r>
                  </w:p>
                </w:txbxContent>
              </v:textbox>
              <w10:wrap anchorx="page" anchory="page"/>
            </v:shape>
          </w:pict>
        </mc:Fallback>
      </mc:AlternateContent>
    </w:r>
    <w:r>
      <w:rPr>
        <w:noProof/>
      </w:rPr>
      <mc:AlternateContent>
        <mc:Choice Requires="wps">
          <w:drawing>
            <wp:anchor distT="0" distB="0" distL="114300" distR="114300" simplePos="0" relativeHeight="503310200" behindDoc="1" locked="0" layoutInCell="1" allowOverlap="1">
              <wp:simplePos x="0" y="0"/>
              <wp:positionH relativeFrom="page">
                <wp:posOffset>6417310</wp:posOffset>
              </wp:positionH>
              <wp:positionV relativeFrom="page">
                <wp:posOffset>293370</wp:posOffset>
              </wp:positionV>
              <wp:extent cx="1065530" cy="111125"/>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2A" w:rsidRDefault="002F0C46">
                          <w:pPr>
                            <w:pStyle w:val="BodyText"/>
                            <w:spacing w:before="16"/>
                            <w:ind w:left="20"/>
                          </w:pPr>
                          <w:r>
                            <w:t>Department of Health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505.3pt;margin-top:23.1pt;width:83.9pt;height:8.7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HirgIAALA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" filled="f" stroked="f">
              <v:textbox inset="0,0,0,0">
                <w:txbxContent>
                  <w:p w:rsidR="00293E2A" w:rsidRDefault="002F0C46">
                    <w:pPr>
                      <w:pStyle w:val="BodyText"/>
                      <w:spacing w:before="16"/>
                      <w:ind w:left="20"/>
                    </w:pPr>
                    <w:r>
                      <w:t>Department of Health Services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2A"/>
    <w:rsid w:val="000561C6"/>
    <w:rsid w:val="001308F8"/>
    <w:rsid w:val="00293E2A"/>
    <w:rsid w:val="002F0C46"/>
    <w:rsid w:val="003176CF"/>
    <w:rsid w:val="003923D6"/>
    <w:rsid w:val="00482B1A"/>
    <w:rsid w:val="00617A8C"/>
    <w:rsid w:val="00847DC0"/>
    <w:rsid w:val="00CE73E5"/>
    <w:rsid w:val="00E133A8"/>
    <w:rsid w:val="00F3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0CD01-BF01-4242-ADE7-3D9094AB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2">
    <w:name w:val="heading 2"/>
    <w:next w:val="Normal"/>
    <w:link w:val="Heading2Char"/>
    <w:qFormat/>
    <w:rsid w:val="003923D6"/>
    <w:pPr>
      <w:keepNext/>
      <w:widowControl/>
      <w:autoSpaceDE/>
      <w:autoSpaceDN/>
      <w:spacing w:after="120"/>
      <w:jc w:val="both"/>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7"/>
    </w:pPr>
  </w:style>
  <w:style w:type="paragraph" w:styleId="BalloonText">
    <w:name w:val="Balloon Text"/>
    <w:basedOn w:val="Normal"/>
    <w:link w:val="BalloonTextChar"/>
    <w:uiPriority w:val="99"/>
    <w:semiHidden/>
    <w:unhideWhenUsed/>
    <w:rsid w:val="00317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CF"/>
    <w:rPr>
      <w:rFonts w:ascii="Segoe UI" w:eastAsia="Arial" w:hAnsi="Segoe UI" w:cs="Segoe UI"/>
      <w:sz w:val="18"/>
      <w:szCs w:val="18"/>
    </w:rPr>
  </w:style>
  <w:style w:type="character" w:customStyle="1" w:styleId="Heading2Char">
    <w:name w:val="Heading 2 Char"/>
    <w:basedOn w:val="DefaultParagraphFont"/>
    <w:link w:val="Heading2"/>
    <w:rsid w:val="003923D6"/>
    <w:rPr>
      <w:rFonts w:ascii="Arial" w:eastAsia="Times New Roman" w:hAnsi="Arial"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Duty Statement</vt:lpstr>
    </vt:vector>
  </TitlesOfParts>
  <Company>DHCS &amp; CDPH</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DHS 2388</dc:subject>
  <dc:creator>CA. Department of Health Services</dc:creator>
  <cp:keywords>DHs 2388,Duty Statement,personnel,intranet forms</cp:keywords>
  <cp:lastModifiedBy>Phan, Shirley (ADM-HRB)</cp:lastModifiedBy>
  <cp:revision>2</cp:revision>
  <cp:lastPrinted>2018-07-12T16:48:00Z</cp:lastPrinted>
  <dcterms:created xsi:type="dcterms:W3CDTF">2019-12-26T18:36:00Z</dcterms:created>
  <dcterms:modified xsi:type="dcterms:W3CDTF">2019-12-26T18:36:00Z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Creator">
    <vt:lpwstr>Acrobat PDFMaker 10.1 for Word</vt:lpwstr>
  </property>
  <property fmtid="{D5CDD505-2E9C-101B-9397-08002B2CF9AE}" pid="4" name="LastSaved">
    <vt:filetime>2018-07-11T00:00:00Z</vt:filetime>
  </property>
</Properties>
</file>