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D152F" w14:textId="77777777" w:rsidR="003762F1" w:rsidRDefault="00D44025" w:rsidP="0062222C">
      <w:pPr>
        <w:spacing w:after="0"/>
        <w:ind w:left="2160" w:firstLine="720"/>
        <w:jc w:val="center"/>
        <w:rPr>
          <w:b/>
          <w:sz w:val="24"/>
          <w:szCs w:val="24"/>
        </w:rPr>
      </w:pPr>
      <w:r>
        <w:rPr>
          <w:b/>
          <w:sz w:val="24"/>
          <w:szCs w:val="24"/>
        </w:rPr>
        <w:t>Duty Statement</w:t>
      </w:r>
    </w:p>
    <w:p w14:paraId="10326BD7" w14:textId="77777777" w:rsidR="00E95A9F" w:rsidRPr="00E95A9F" w:rsidRDefault="00E95A9F" w:rsidP="00E95A9F">
      <w:pPr>
        <w:spacing w:after="0"/>
        <w:jc w:val="center"/>
        <w:rPr>
          <w:b/>
          <w:sz w:val="24"/>
          <w:szCs w:val="24"/>
        </w:rPr>
      </w:pPr>
    </w:p>
    <w:tbl>
      <w:tblPr>
        <w:tblStyle w:val="TableGrid"/>
        <w:tblW w:w="0" w:type="auto"/>
        <w:tblLook w:val="04A0" w:firstRow="1" w:lastRow="0" w:firstColumn="1" w:lastColumn="0" w:noHBand="0" w:noVBand="1"/>
      </w:tblPr>
      <w:tblGrid>
        <w:gridCol w:w="2785"/>
        <w:gridCol w:w="6565"/>
      </w:tblGrid>
      <w:tr w:rsidR="00724FDB" w14:paraId="7BE9A2AE" w14:textId="77777777" w:rsidTr="00D44025">
        <w:tc>
          <w:tcPr>
            <w:tcW w:w="2785" w:type="dxa"/>
            <w:shd w:val="clear" w:color="auto" w:fill="BFBFBF" w:themeFill="background1" w:themeFillShade="BF"/>
          </w:tcPr>
          <w:p w14:paraId="795FE0AF" w14:textId="77777777" w:rsidR="00724FDB" w:rsidRDefault="00724FDB"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POSITION BEING FILLED (CLASSIFICATION):</w:t>
            </w:r>
          </w:p>
        </w:tc>
        <w:tc>
          <w:tcPr>
            <w:tcW w:w="6565" w:type="dxa"/>
          </w:tcPr>
          <w:p w14:paraId="6E3B81A6" w14:textId="77777777" w:rsidR="00724FDB" w:rsidRDefault="00141A4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Attorney III</w:t>
            </w:r>
          </w:p>
        </w:tc>
      </w:tr>
      <w:tr w:rsidR="00584880" w14:paraId="7982A04F" w14:textId="77777777" w:rsidTr="00D44025">
        <w:tc>
          <w:tcPr>
            <w:tcW w:w="2785" w:type="dxa"/>
            <w:shd w:val="clear" w:color="auto" w:fill="BFBFBF" w:themeFill="background1" w:themeFillShade="BF"/>
          </w:tcPr>
          <w:p w14:paraId="4D12E446" w14:textId="77777777" w:rsidR="00584880"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WORKING TITLE:</w:t>
            </w:r>
          </w:p>
        </w:tc>
        <w:tc>
          <w:tcPr>
            <w:tcW w:w="6565" w:type="dxa"/>
          </w:tcPr>
          <w:p w14:paraId="68CC1D08" w14:textId="77777777" w:rsidR="0036298B" w:rsidRDefault="0036298B" w:rsidP="003762F1">
            <w:pPr>
              <w:rPr>
                <w:rFonts w:ascii="Calibri" w:eastAsia="Tahoma" w:hAnsi="Calibri" w:cs="Tahoma"/>
                <w:b/>
                <w:color w:val="000000" w:themeColor="text1"/>
                <w:sz w:val="24"/>
                <w:szCs w:val="24"/>
              </w:rPr>
            </w:pPr>
          </w:p>
        </w:tc>
      </w:tr>
      <w:tr w:rsidR="00724FDB" w14:paraId="6C2F6CCA" w14:textId="77777777" w:rsidTr="00D44025">
        <w:tc>
          <w:tcPr>
            <w:tcW w:w="2785" w:type="dxa"/>
            <w:shd w:val="clear" w:color="auto" w:fill="BFBFBF" w:themeFill="background1" w:themeFillShade="BF"/>
          </w:tcPr>
          <w:p w14:paraId="234CDFD3" w14:textId="77777777" w:rsidR="00724FDB"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POSITION NUMBER:</w:t>
            </w:r>
          </w:p>
        </w:tc>
        <w:tc>
          <w:tcPr>
            <w:tcW w:w="6565" w:type="dxa"/>
          </w:tcPr>
          <w:p w14:paraId="5733757F" w14:textId="567D4C45" w:rsidR="0036298B" w:rsidRPr="0046462C" w:rsidRDefault="00FB64FA" w:rsidP="003762F1">
            <w:pPr>
              <w:rPr>
                <w:rFonts w:ascii="Calibri" w:eastAsia="Tahoma" w:hAnsi="Calibri" w:cs="Tahoma"/>
                <w:b/>
                <w:caps/>
                <w:color w:val="000000" w:themeColor="text1"/>
                <w:sz w:val="24"/>
                <w:szCs w:val="24"/>
              </w:rPr>
            </w:pPr>
            <w:r>
              <w:rPr>
                <w:rFonts w:ascii="Calibri" w:eastAsia="Tahoma" w:hAnsi="Calibri" w:cs="Tahoma"/>
                <w:b/>
                <w:caps/>
                <w:color w:val="000000" w:themeColor="text1"/>
                <w:sz w:val="24"/>
                <w:szCs w:val="24"/>
              </w:rPr>
              <w:t>400-429-5795-021</w:t>
            </w:r>
          </w:p>
        </w:tc>
      </w:tr>
      <w:tr w:rsidR="00D34481" w14:paraId="748B64FD" w14:textId="77777777" w:rsidTr="00D44025">
        <w:tc>
          <w:tcPr>
            <w:tcW w:w="2785" w:type="dxa"/>
            <w:shd w:val="clear" w:color="auto" w:fill="BFBFBF" w:themeFill="background1" w:themeFillShade="BF"/>
          </w:tcPr>
          <w:p w14:paraId="726D718C" w14:textId="77777777" w:rsidR="00D34481"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DIVISION:</w:t>
            </w:r>
          </w:p>
        </w:tc>
        <w:tc>
          <w:tcPr>
            <w:tcW w:w="6565" w:type="dxa"/>
          </w:tcPr>
          <w:p w14:paraId="6BAA04EA" w14:textId="77777777" w:rsidR="00D34481" w:rsidRPr="0046462C" w:rsidRDefault="00141A45" w:rsidP="003762F1">
            <w:pPr>
              <w:rPr>
                <w:rFonts w:ascii="Calibri" w:eastAsia="Tahoma" w:hAnsi="Calibri" w:cs="Tahoma"/>
                <w:b/>
                <w:caps/>
                <w:color w:val="000000" w:themeColor="text1"/>
                <w:sz w:val="24"/>
                <w:szCs w:val="24"/>
              </w:rPr>
            </w:pPr>
            <w:r>
              <w:rPr>
                <w:rFonts w:ascii="Calibri" w:eastAsia="Tahoma" w:hAnsi="Calibri" w:cs="Tahoma"/>
                <w:b/>
                <w:caps/>
                <w:color w:val="000000" w:themeColor="text1"/>
                <w:sz w:val="24"/>
                <w:szCs w:val="24"/>
              </w:rPr>
              <w:t>Occupational Safety and Health</w:t>
            </w:r>
          </w:p>
        </w:tc>
      </w:tr>
      <w:tr w:rsidR="00E56F56" w14:paraId="5495983A" w14:textId="77777777" w:rsidTr="00D44025">
        <w:trPr>
          <w:trHeight w:val="305"/>
        </w:trPr>
        <w:tc>
          <w:tcPr>
            <w:tcW w:w="2785" w:type="dxa"/>
            <w:shd w:val="clear" w:color="auto" w:fill="BFBFBF" w:themeFill="background1" w:themeFillShade="BF"/>
          </w:tcPr>
          <w:p w14:paraId="22AE31FA" w14:textId="77777777" w:rsidR="00E56F56" w:rsidRDefault="00D4402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LOCATION:</w:t>
            </w:r>
          </w:p>
        </w:tc>
        <w:tc>
          <w:tcPr>
            <w:tcW w:w="6565" w:type="dxa"/>
          </w:tcPr>
          <w:p w14:paraId="0FC0053C" w14:textId="1AFDE26F" w:rsidR="0036298B" w:rsidRDefault="00141A4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Los Angeles</w:t>
            </w:r>
            <w:r w:rsidR="00FB64FA">
              <w:rPr>
                <w:rFonts w:ascii="Calibri" w:eastAsia="Tahoma" w:hAnsi="Calibri" w:cs="Tahoma"/>
                <w:b/>
                <w:color w:val="000000" w:themeColor="text1"/>
                <w:sz w:val="24"/>
                <w:szCs w:val="24"/>
              </w:rPr>
              <w:t xml:space="preserve"> Legal/BOI</w:t>
            </w:r>
          </w:p>
        </w:tc>
      </w:tr>
      <w:tr w:rsidR="00593347" w14:paraId="38E94261" w14:textId="77777777" w:rsidTr="00D44025">
        <w:tc>
          <w:tcPr>
            <w:tcW w:w="2785" w:type="dxa"/>
            <w:shd w:val="clear" w:color="auto" w:fill="BFBFBF" w:themeFill="background1" w:themeFillShade="BF"/>
          </w:tcPr>
          <w:p w14:paraId="09FDC336" w14:textId="77777777" w:rsidR="00593347" w:rsidRDefault="00593347"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 xml:space="preserve"> </w:t>
            </w:r>
            <w:r w:rsidR="00056B5E">
              <w:rPr>
                <w:rFonts w:ascii="Calibri" w:eastAsia="Tahoma" w:hAnsi="Calibri" w:cs="Tahoma"/>
                <w:b/>
                <w:color w:val="000000" w:themeColor="text1"/>
                <w:sz w:val="24"/>
                <w:szCs w:val="24"/>
              </w:rPr>
              <w:t>FORM 1#</w:t>
            </w:r>
            <w:r w:rsidR="00D44025">
              <w:rPr>
                <w:rFonts w:ascii="Calibri" w:eastAsia="Tahoma" w:hAnsi="Calibri" w:cs="Tahoma"/>
                <w:b/>
                <w:color w:val="000000" w:themeColor="text1"/>
                <w:sz w:val="24"/>
                <w:szCs w:val="24"/>
              </w:rPr>
              <w:t>:</w:t>
            </w:r>
          </w:p>
        </w:tc>
        <w:tc>
          <w:tcPr>
            <w:tcW w:w="6565" w:type="dxa"/>
          </w:tcPr>
          <w:p w14:paraId="6736B5CC" w14:textId="02D351EC" w:rsidR="00593347" w:rsidRDefault="00FB64FA"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004915-19</w:t>
            </w:r>
          </w:p>
        </w:tc>
      </w:tr>
    </w:tbl>
    <w:p w14:paraId="67A452F6" w14:textId="77777777" w:rsidR="00724FDB" w:rsidRDefault="00724FDB" w:rsidP="003762F1">
      <w:pPr>
        <w:spacing w:after="0"/>
        <w:rPr>
          <w:rFonts w:ascii="Calibri" w:eastAsia="Tahoma" w:hAnsi="Calibri" w:cs="Tahoma"/>
          <w:b/>
          <w:color w:val="000000" w:themeColor="text1"/>
          <w:sz w:val="24"/>
          <w:szCs w:val="24"/>
        </w:rPr>
      </w:pPr>
    </w:p>
    <w:tbl>
      <w:tblPr>
        <w:tblStyle w:val="TableGrid"/>
        <w:tblW w:w="0" w:type="auto"/>
        <w:tblLook w:val="04A0" w:firstRow="1" w:lastRow="0" w:firstColumn="1" w:lastColumn="0" w:noHBand="0" w:noVBand="1"/>
      </w:tblPr>
      <w:tblGrid>
        <w:gridCol w:w="2785"/>
        <w:gridCol w:w="6565"/>
      </w:tblGrid>
      <w:tr w:rsidR="00D44025" w14:paraId="2F58619E" w14:textId="77777777" w:rsidTr="00D44025">
        <w:trPr>
          <w:trHeight w:val="242"/>
        </w:trPr>
        <w:tc>
          <w:tcPr>
            <w:tcW w:w="2785" w:type="dxa"/>
            <w:shd w:val="clear" w:color="auto" w:fill="BFBFBF" w:themeFill="background1" w:themeFillShade="BF"/>
          </w:tcPr>
          <w:p w14:paraId="260F8B66" w14:textId="77777777" w:rsidR="00D44025" w:rsidRPr="00D44025" w:rsidRDefault="00582715" w:rsidP="003762F1">
            <w:pPr>
              <w:rPr>
                <w:rFonts w:ascii="Calibri" w:eastAsia="Tahoma" w:hAnsi="Calibri" w:cs="Tahoma"/>
                <w:b/>
                <w:sz w:val="24"/>
                <w:szCs w:val="24"/>
              </w:rPr>
            </w:pPr>
            <w:bookmarkStart w:id="0" w:name="_GoBack" w:colFirst="1" w:colLast="1"/>
            <w:r>
              <w:rPr>
                <w:rFonts w:ascii="Calibri" w:eastAsia="Tahoma" w:hAnsi="Calibri" w:cs="Tahoma"/>
                <w:b/>
                <w:sz w:val="24"/>
                <w:szCs w:val="24"/>
              </w:rPr>
              <w:t>TENURE:</w:t>
            </w:r>
          </w:p>
        </w:tc>
        <w:tc>
          <w:tcPr>
            <w:tcW w:w="6565" w:type="dxa"/>
          </w:tcPr>
          <w:p w14:paraId="3D638E57" w14:textId="77777777" w:rsidR="00D44025" w:rsidRDefault="00F1708B"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Permanent</w:t>
            </w:r>
          </w:p>
        </w:tc>
      </w:tr>
      <w:tr w:rsidR="00D44025" w14:paraId="39F30A6C" w14:textId="77777777" w:rsidTr="00D44025">
        <w:tc>
          <w:tcPr>
            <w:tcW w:w="2785" w:type="dxa"/>
            <w:shd w:val="clear" w:color="auto" w:fill="BFBFBF" w:themeFill="background1" w:themeFillShade="BF"/>
          </w:tcPr>
          <w:p w14:paraId="6CA5C536"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TIME BASE:</w:t>
            </w:r>
          </w:p>
        </w:tc>
        <w:tc>
          <w:tcPr>
            <w:tcW w:w="6565" w:type="dxa"/>
          </w:tcPr>
          <w:p w14:paraId="2E8B8827" w14:textId="77777777" w:rsidR="00D44025" w:rsidRDefault="00141A45"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Full-time</w:t>
            </w:r>
          </w:p>
        </w:tc>
      </w:tr>
      <w:tr w:rsidR="00D44025" w14:paraId="3DE32377" w14:textId="77777777" w:rsidTr="00D44025">
        <w:tc>
          <w:tcPr>
            <w:tcW w:w="2785" w:type="dxa"/>
            <w:shd w:val="clear" w:color="auto" w:fill="BFBFBF" w:themeFill="background1" w:themeFillShade="BF"/>
          </w:tcPr>
          <w:p w14:paraId="3BE3AB4C"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WWG:</w:t>
            </w:r>
          </w:p>
        </w:tc>
        <w:tc>
          <w:tcPr>
            <w:tcW w:w="6565" w:type="dxa"/>
          </w:tcPr>
          <w:p w14:paraId="282F6930" w14:textId="77777777" w:rsidR="00D44025" w:rsidRDefault="00F1708B"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SE</w:t>
            </w:r>
          </w:p>
        </w:tc>
      </w:tr>
      <w:tr w:rsidR="00D44025" w14:paraId="73E01250" w14:textId="77777777" w:rsidTr="00D44025">
        <w:tc>
          <w:tcPr>
            <w:tcW w:w="2785" w:type="dxa"/>
            <w:shd w:val="clear" w:color="auto" w:fill="BFBFBF" w:themeFill="background1" w:themeFillShade="BF"/>
          </w:tcPr>
          <w:p w14:paraId="4DD45B94"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CBID:</w:t>
            </w:r>
          </w:p>
        </w:tc>
        <w:tc>
          <w:tcPr>
            <w:tcW w:w="6565" w:type="dxa"/>
          </w:tcPr>
          <w:p w14:paraId="66CA2451" w14:textId="77777777" w:rsidR="00D44025" w:rsidRDefault="00F1708B" w:rsidP="003762F1">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R02</w:t>
            </w:r>
          </w:p>
        </w:tc>
      </w:tr>
      <w:tr w:rsidR="00D44025" w14:paraId="404314D8" w14:textId="77777777" w:rsidTr="00D44025">
        <w:tc>
          <w:tcPr>
            <w:tcW w:w="2785" w:type="dxa"/>
            <w:shd w:val="clear" w:color="auto" w:fill="BFBFBF" w:themeFill="background1" w:themeFillShade="BF"/>
          </w:tcPr>
          <w:p w14:paraId="762B6D90"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WORK SCHEDULE:</w:t>
            </w:r>
          </w:p>
        </w:tc>
        <w:tc>
          <w:tcPr>
            <w:tcW w:w="6565" w:type="dxa"/>
          </w:tcPr>
          <w:p w14:paraId="7B1719BB" w14:textId="77777777" w:rsidR="00D44025" w:rsidRDefault="00F1708B" w:rsidP="00141A45">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 xml:space="preserve">Monday – Friday </w:t>
            </w:r>
          </w:p>
        </w:tc>
      </w:tr>
      <w:tr w:rsidR="00D44025" w14:paraId="5FC53424" w14:textId="77777777" w:rsidTr="00D44025">
        <w:tc>
          <w:tcPr>
            <w:tcW w:w="2785" w:type="dxa"/>
            <w:shd w:val="clear" w:color="auto" w:fill="BFBFBF" w:themeFill="background1" w:themeFillShade="BF"/>
          </w:tcPr>
          <w:p w14:paraId="68836A53" w14:textId="77777777" w:rsidR="00D44025" w:rsidRPr="00582715" w:rsidRDefault="00582715" w:rsidP="003762F1">
            <w:pPr>
              <w:rPr>
                <w:rFonts w:ascii="Calibri" w:eastAsia="Tahoma" w:hAnsi="Calibri" w:cs="Tahoma"/>
                <w:b/>
                <w:sz w:val="24"/>
                <w:szCs w:val="24"/>
              </w:rPr>
            </w:pPr>
            <w:r>
              <w:rPr>
                <w:rFonts w:ascii="Calibri" w:eastAsia="Tahoma" w:hAnsi="Calibri" w:cs="Tahoma"/>
                <w:b/>
                <w:sz w:val="24"/>
                <w:szCs w:val="24"/>
              </w:rPr>
              <w:t>WORKING HOURS:</w:t>
            </w:r>
          </w:p>
        </w:tc>
        <w:tc>
          <w:tcPr>
            <w:tcW w:w="6565" w:type="dxa"/>
          </w:tcPr>
          <w:p w14:paraId="1492D36A" w14:textId="77777777" w:rsidR="00D44025" w:rsidRDefault="00141A45" w:rsidP="00F1708B">
            <w:pPr>
              <w:rPr>
                <w:rFonts w:ascii="Calibri" w:eastAsia="Tahoma" w:hAnsi="Calibri" w:cs="Tahoma"/>
                <w:b/>
                <w:color w:val="000000" w:themeColor="text1"/>
                <w:sz w:val="24"/>
                <w:szCs w:val="24"/>
              </w:rPr>
            </w:pPr>
            <w:r w:rsidRPr="00141A45">
              <w:rPr>
                <w:rFonts w:ascii="Calibri" w:eastAsia="Tahoma" w:hAnsi="Calibri" w:cs="Tahoma"/>
                <w:b/>
                <w:color w:val="000000" w:themeColor="text1"/>
                <w:sz w:val="24"/>
                <w:szCs w:val="24"/>
              </w:rPr>
              <w:t>8</w:t>
            </w:r>
            <w:r w:rsidR="00F1708B">
              <w:rPr>
                <w:rFonts w:ascii="Calibri" w:eastAsia="Tahoma" w:hAnsi="Calibri" w:cs="Tahoma"/>
                <w:b/>
                <w:color w:val="000000" w:themeColor="text1"/>
                <w:sz w:val="24"/>
                <w:szCs w:val="24"/>
              </w:rPr>
              <w:t xml:space="preserve"> am – 5 pm </w:t>
            </w:r>
          </w:p>
        </w:tc>
      </w:tr>
      <w:bookmarkEnd w:id="0"/>
    </w:tbl>
    <w:p w14:paraId="2B6E307B" w14:textId="77777777" w:rsidR="0036298B" w:rsidRDefault="0036298B" w:rsidP="00F64CE6">
      <w:pPr>
        <w:spacing w:after="0"/>
        <w:rPr>
          <w:rFonts w:ascii="Calibri" w:eastAsia="Tahoma" w:hAnsi="Calibri" w:cs="Tahoma"/>
          <w:b/>
          <w:color w:val="000000" w:themeColor="text1"/>
          <w:sz w:val="24"/>
          <w:szCs w:val="24"/>
        </w:rPr>
      </w:pPr>
    </w:p>
    <w:tbl>
      <w:tblPr>
        <w:tblStyle w:val="TableGrid"/>
        <w:tblW w:w="0" w:type="auto"/>
        <w:tblLook w:val="04A0" w:firstRow="1" w:lastRow="0" w:firstColumn="1" w:lastColumn="0" w:noHBand="0" w:noVBand="1"/>
      </w:tblPr>
      <w:tblGrid>
        <w:gridCol w:w="2785"/>
        <w:gridCol w:w="6565"/>
      </w:tblGrid>
      <w:tr w:rsidR="00582715" w14:paraId="5B4136E4" w14:textId="77777777" w:rsidTr="00582715">
        <w:tc>
          <w:tcPr>
            <w:tcW w:w="2785" w:type="dxa"/>
            <w:shd w:val="clear" w:color="auto" w:fill="BFBFBF" w:themeFill="background1" w:themeFillShade="BF"/>
          </w:tcPr>
          <w:p w14:paraId="3D46ABA3" w14:textId="77777777" w:rsidR="00582715" w:rsidRDefault="00582715" w:rsidP="00F64CE6">
            <w:pP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CONFLICT OF INTEREST FILING (FORM 700)</w:t>
            </w:r>
          </w:p>
        </w:tc>
        <w:tc>
          <w:tcPr>
            <w:tcW w:w="6565" w:type="dxa"/>
          </w:tcPr>
          <w:p w14:paraId="5B335498" w14:textId="77777777" w:rsidR="00582715" w:rsidRDefault="00582715" w:rsidP="00582715">
            <w:r>
              <w:t xml:space="preserve">REQUIRED </w:t>
            </w:r>
            <w:sdt>
              <w:sdtPr>
                <w:id w:val="1810813624"/>
                <w14:checkbox>
                  <w14:checked w14:val="1"/>
                  <w14:checkedState w14:val="2612" w14:font="MS Gothic"/>
                  <w14:uncheckedState w14:val="2610" w14:font="MS Gothic"/>
                </w14:checkbox>
              </w:sdtPr>
              <w:sdtEndPr/>
              <w:sdtContent>
                <w:r w:rsidR="00141A45">
                  <w:rPr>
                    <w:rFonts w:ascii="MS Gothic" w:eastAsia="MS Gothic" w:hAnsi="MS Gothic" w:hint="eastAsia"/>
                  </w:rPr>
                  <w:t>☒</w:t>
                </w:r>
              </w:sdtContent>
            </w:sdt>
            <w:r>
              <w:t xml:space="preserve">     NOT REQUIRED </w:t>
            </w:r>
            <w:sdt>
              <w:sdtPr>
                <w:id w:val="-2805055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FE3A357" w14:textId="77777777" w:rsidR="00582715" w:rsidRDefault="00582715" w:rsidP="00F64CE6">
      <w:pPr>
        <w:spacing w:after="0"/>
        <w:rPr>
          <w:rFonts w:ascii="Calibri" w:eastAsia="Tahoma" w:hAnsi="Calibri" w:cs="Tahoma"/>
          <w:b/>
          <w:color w:val="000000" w:themeColor="text1"/>
          <w:sz w:val="24"/>
          <w:szCs w:val="24"/>
        </w:rPr>
      </w:pPr>
    </w:p>
    <w:tbl>
      <w:tblPr>
        <w:tblStyle w:val="TableGrid"/>
        <w:tblW w:w="0" w:type="auto"/>
        <w:tblLook w:val="04A0" w:firstRow="1" w:lastRow="0" w:firstColumn="1" w:lastColumn="0" w:noHBand="0" w:noVBand="1"/>
      </w:tblPr>
      <w:tblGrid>
        <w:gridCol w:w="9350"/>
      </w:tblGrid>
      <w:tr w:rsidR="00E56F56" w14:paraId="53B63D3A" w14:textId="77777777" w:rsidTr="00E56F56">
        <w:tc>
          <w:tcPr>
            <w:tcW w:w="9350" w:type="dxa"/>
          </w:tcPr>
          <w:p w14:paraId="0AFE2AA2" w14:textId="77777777" w:rsidR="00E56F56" w:rsidRDefault="00560262" w:rsidP="0046462C">
            <w:pPr>
              <w:jc w:val="cente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GENERAL STATEMENT</w:t>
            </w:r>
          </w:p>
        </w:tc>
      </w:tr>
      <w:tr w:rsidR="00E56F56" w14:paraId="76402E4D" w14:textId="77777777" w:rsidTr="00560262">
        <w:trPr>
          <w:trHeight w:val="2942"/>
        </w:trPr>
        <w:tc>
          <w:tcPr>
            <w:tcW w:w="9350" w:type="dxa"/>
          </w:tcPr>
          <w:p w14:paraId="1157B2A4" w14:textId="77777777" w:rsidR="00E210A5" w:rsidRDefault="00E210A5" w:rsidP="00FC09A6">
            <w:pPr>
              <w:rPr>
                <w:rFonts w:ascii="Calibri" w:eastAsia="Tahoma" w:hAnsi="Calibri" w:cs="Tahoma"/>
                <w:color w:val="000000" w:themeColor="text1"/>
                <w:sz w:val="24"/>
                <w:szCs w:val="24"/>
              </w:rPr>
            </w:pPr>
            <w:r w:rsidRPr="00E210A5">
              <w:rPr>
                <w:rFonts w:ascii="Calibri" w:eastAsia="Tahoma" w:hAnsi="Calibri" w:cs="Tahoma"/>
                <w:color w:val="000000" w:themeColor="text1"/>
                <w:sz w:val="24"/>
                <w:szCs w:val="24"/>
              </w:rPr>
              <w:t xml:space="preserve">Under the general direction of the Chief of the Division of Occupational Safety and Health </w:t>
            </w:r>
            <w:r>
              <w:rPr>
                <w:rFonts w:ascii="Calibri" w:eastAsia="Tahoma" w:hAnsi="Calibri" w:cs="Tahoma"/>
                <w:color w:val="000000" w:themeColor="text1"/>
                <w:sz w:val="24"/>
                <w:szCs w:val="24"/>
              </w:rPr>
              <w:t xml:space="preserve">(DOSH) </w:t>
            </w:r>
            <w:r w:rsidRPr="00E210A5">
              <w:rPr>
                <w:rFonts w:ascii="Calibri" w:eastAsia="Tahoma" w:hAnsi="Calibri" w:cs="Tahoma"/>
                <w:color w:val="000000" w:themeColor="text1"/>
                <w:sz w:val="24"/>
                <w:szCs w:val="24"/>
              </w:rPr>
              <w:t>and the supervision of the Assistant Chief Counsel</w:t>
            </w:r>
            <w:r w:rsidR="00C234D7">
              <w:rPr>
                <w:rFonts w:ascii="Calibri" w:eastAsia="Tahoma" w:hAnsi="Calibri" w:cs="Tahoma"/>
                <w:color w:val="000000" w:themeColor="text1"/>
                <w:sz w:val="24"/>
                <w:szCs w:val="24"/>
              </w:rPr>
              <w:t>s</w:t>
            </w:r>
            <w:r w:rsidRPr="00E210A5">
              <w:rPr>
                <w:rFonts w:ascii="Calibri" w:eastAsia="Tahoma" w:hAnsi="Calibri" w:cs="Tahoma"/>
                <w:color w:val="000000" w:themeColor="text1"/>
                <w:sz w:val="24"/>
                <w:szCs w:val="24"/>
              </w:rPr>
              <w:t>, Attorney III</w:t>
            </w:r>
            <w:r w:rsidR="00C234D7">
              <w:rPr>
                <w:rFonts w:ascii="Calibri" w:eastAsia="Tahoma" w:hAnsi="Calibri" w:cs="Tahoma"/>
                <w:color w:val="000000" w:themeColor="text1"/>
                <w:sz w:val="24"/>
                <w:szCs w:val="24"/>
              </w:rPr>
              <w:t>s represent DOSH in a wide range of legal issues within the jurisdiction of the Division. Attorney IIIs</w:t>
            </w:r>
            <w:r w:rsidRPr="00E210A5">
              <w:rPr>
                <w:rFonts w:ascii="Calibri" w:eastAsia="Tahoma" w:hAnsi="Calibri" w:cs="Tahoma"/>
                <w:color w:val="000000" w:themeColor="text1"/>
                <w:sz w:val="24"/>
                <w:szCs w:val="24"/>
              </w:rPr>
              <w:t xml:space="preserve"> work with broad discretion and independence</w:t>
            </w:r>
            <w:r>
              <w:rPr>
                <w:rFonts w:ascii="Calibri" w:eastAsia="Tahoma" w:hAnsi="Calibri" w:cs="Tahoma"/>
                <w:color w:val="000000" w:themeColor="text1"/>
                <w:sz w:val="24"/>
                <w:szCs w:val="24"/>
              </w:rPr>
              <w:t>,</w:t>
            </w:r>
            <w:r w:rsidRPr="00E210A5">
              <w:rPr>
                <w:rFonts w:ascii="Calibri" w:eastAsia="Tahoma" w:hAnsi="Calibri" w:cs="Tahoma"/>
                <w:color w:val="000000" w:themeColor="text1"/>
                <w:sz w:val="24"/>
                <w:szCs w:val="24"/>
              </w:rPr>
              <w:t xml:space="preserve"> and </w:t>
            </w:r>
            <w:r w:rsidR="00C234D7">
              <w:rPr>
                <w:rFonts w:ascii="Calibri" w:eastAsia="Tahoma" w:hAnsi="Calibri" w:cs="Tahoma"/>
                <w:color w:val="000000" w:themeColor="text1"/>
                <w:sz w:val="24"/>
                <w:szCs w:val="24"/>
              </w:rPr>
              <w:t>are</w:t>
            </w:r>
            <w:r w:rsidR="00751B69">
              <w:rPr>
                <w:rFonts w:ascii="Calibri" w:eastAsia="Tahoma" w:hAnsi="Calibri" w:cs="Tahoma"/>
                <w:color w:val="000000" w:themeColor="text1"/>
                <w:sz w:val="24"/>
                <w:szCs w:val="24"/>
              </w:rPr>
              <w:t xml:space="preserve"> </w:t>
            </w:r>
            <w:r w:rsidRPr="00E210A5">
              <w:rPr>
                <w:rFonts w:ascii="Calibri" w:eastAsia="Tahoma" w:hAnsi="Calibri" w:cs="Tahoma"/>
                <w:color w:val="000000" w:themeColor="text1"/>
                <w:sz w:val="24"/>
                <w:szCs w:val="24"/>
              </w:rPr>
              <w:t>expected to be expert</w:t>
            </w:r>
            <w:r w:rsidR="00C234D7">
              <w:rPr>
                <w:rFonts w:ascii="Calibri" w:eastAsia="Tahoma" w:hAnsi="Calibri" w:cs="Tahoma"/>
                <w:color w:val="000000" w:themeColor="text1"/>
                <w:sz w:val="24"/>
                <w:szCs w:val="24"/>
              </w:rPr>
              <w:t>s</w:t>
            </w:r>
            <w:r w:rsidRPr="00E210A5">
              <w:rPr>
                <w:rFonts w:ascii="Calibri" w:eastAsia="Tahoma" w:hAnsi="Calibri" w:cs="Tahoma"/>
                <w:color w:val="000000" w:themeColor="text1"/>
                <w:sz w:val="24"/>
                <w:szCs w:val="24"/>
              </w:rPr>
              <w:t xml:space="preserve"> in broad, complex and sensitive areas of employment law pertaining</w:t>
            </w:r>
            <w:r w:rsidR="006856CC">
              <w:rPr>
                <w:rFonts w:ascii="Calibri" w:eastAsia="Tahoma" w:hAnsi="Calibri" w:cs="Tahoma"/>
                <w:color w:val="000000" w:themeColor="text1"/>
                <w:sz w:val="24"/>
                <w:szCs w:val="24"/>
              </w:rPr>
              <w:t xml:space="preserve"> to</w:t>
            </w:r>
            <w:r w:rsidRPr="00E210A5">
              <w:rPr>
                <w:rFonts w:ascii="Calibri" w:eastAsia="Tahoma" w:hAnsi="Calibri" w:cs="Tahoma"/>
                <w:color w:val="000000" w:themeColor="text1"/>
                <w:sz w:val="24"/>
                <w:szCs w:val="24"/>
              </w:rPr>
              <w:t xml:space="preserve"> occupational safety and health with knowledge of administrative proceedings, writs, and appeals.  </w:t>
            </w:r>
          </w:p>
          <w:p w14:paraId="6C6CE583" w14:textId="77777777" w:rsidR="00E210A5" w:rsidRDefault="00E210A5" w:rsidP="00FC09A6">
            <w:pPr>
              <w:rPr>
                <w:rFonts w:ascii="Calibri" w:eastAsia="Tahoma" w:hAnsi="Calibri" w:cs="Tahoma"/>
                <w:color w:val="000000" w:themeColor="text1"/>
                <w:sz w:val="24"/>
                <w:szCs w:val="24"/>
              </w:rPr>
            </w:pPr>
          </w:p>
          <w:p w14:paraId="6042FA07" w14:textId="237C17A7" w:rsidR="0062222C" w:rsidRDefault="00C234D7" w:rsidP="00FC09A6">
            <w:pPr>
              <w:rPr>
                <w:rFonts w:ascii="Calibri" w:eastAsia="Tahoma" w:hAnsi="Calibri" w:cs="Tahoma"/>
                <w:color w:val="000000" w:themeColor="text1"/>
                <w:sz w:val="24"/>
                <w:szCs w:val="24"/>
              </w:rPr>
            </w:pPr>
            <w:r w:rsidRPr="00C234D7">
              <w:rPr>
                <w:rFonts w:ascii="Calibri" w:eastAsia="Tahoma" w:hAnsi="Calibri" w:cs="Tahoma"/>
                <w:color w:val="000000" w:themeColor="text1"/>
                <w:sz w:val="24"/>
                <w:szCs w:val="24"/>
              </w:rPr>
              <w:t>Duties include, but are not limited to: representing DOSH in complex and sensitive administrative hearings before the Occupational Safety and Health Appe</w:t>
            </w:r>
            <w:r>
              <w:rPr>
                <w:rFonts w:ascii="Calibri" w:eastAsia="Tahoma" w:hAnsi="Calibri" w:cs="Tahoma"/>
                <w:color w:val="000000" w:themeColor="text1"/>
                <w:sz w:val="24"/>
                <w:szCs w:val="24"/>
              </w:rPr>
              <w:t xml:space="preserve">als Board (the Appeals Board); </w:t>
            </w:r>
            <w:r w:rsidRPr="00C234D7">
              <w:rPr>
                <w:rFonts w:ascii="Calibri" w:eastAsia="Tahoma" w:hAnsi="Calibri" w:cs="Tahoma"/>
                <w:color w:val="000000" w:themeColor="text1"/>
                <w:sz w:val="24"/>
                <w:szCs w:val="24"/>
              </w:rPr>
              <w:t>representing DOSH in civil and writ litigation before California trial and appe</w:t>
            </w:r>
            <w:r>
              <w:rPr>
                <w:rFonts w:ascii="Calibri" w:eastAsia="Tahoma" w:hAnsi="Calibri" w:cs="Tahoma"/>
                <w:color w:val="000000" w:themeColor="text1"/>
                <w:sz w:val="24"/>
                <w:szCs w:val="24"/>
              </w:rPr>
              <w:t>llate courts</w:t>
            </w:r>
            <w:r w:rsidRPr="00C234D7">
              <w:rPr>
                <w:rFonts w:ascii="Calibri" w:eastAsia="Tahoma" w:hAnsi="Calibri" w:cs="Tahoma"/>
                <w:color w:val="000000" w:themeColor="text1"/>
                <w:sz w:val="24"/>
                <w:szCs w:val="24"/>
              </w:rPr>
              <w:t xml:space="preserve">; representing and advising the Chief, management, and the Division with regard to policy, sensitive and high profile matters, and program direction;  providing analysis and advice concerning Public Records Act requests; analyzing and drafting proposed legislation; drafting proposed regulations; appearing before the Occupational safety and Health Standards Board; and providing legal services on a wide variety of other issues that may arise in the operation of DOSH, in multiple substantive areas of law, including </w:t>
            </w:r>
          </w:p>
          <w:p w14:paraId="28ADCBAD" w14:textId="63E409A1" w:rsidR="00C234D7" w:rsidRDefault="0062222C" w:rsidP="00FC09A6">
            <w:pPr>
              <w:rPr>
                <w:rFonts w:ascii="Calibri" w:eastAsia="Tahoma" w:hAnsi="Calibri" w:cs="Tahoma"/>
                <w:color w:val="000000" w:themeColor="text1"/>
                <w:sz w:val="24"/>
                <w:szCs w:val="24"/>
              </w:rPr>
            </w:pPr>
            <w:proofErr w:type="gramStart"/>
            <w:r>
              <w:rPr>
                <w:rFonts w:ascii="Calibri" w:eastAsia="Tahoma" w:hAnsi="Calibri" w:cs="Tahoma"/>
                <w:color w:val="000000" w:themeColor="text1"/>
                <w:sz w:val="24"/>
                <w:szCs w:val="24"/>
              </w:rPr>
              <w:lastRenderedPageBreak/>
              <w:t>o</w:t>
            </w:r>
            <w:r w:rsidR="00C234D7" w:rsidRPr="00C234D7">
              <w:rPr>
                <w:rFonts w:ascii="Calibri" w:eastAsia="Tahoma" w:hAnsi="Calibri" w:cs="Tahoma"/>
                <w:color w:val="000000" w:themeColor="text1"/>
                <w:sz w:val="24"/>
                <w:szCs w:val="24"/>
              </w:rPr>
              <w:t>ccupational</w:t>
            </w:r>
            <w:proofErr w:type="gramEnd"/>
            <w:r w:rsidR="00C234D7" w:rsidRPr="00C234D7">
              <w:rPr>
                <w:rFonts w:ascii="Calibri" w:eastAsia="Tahoma" w:hAnsi="Calibri" w:cs="Tahoma"/>
                <w:color w:val="000000" w:themeColor="text1"/>
                <w:sz w:val="24"/>
                <w:szCs w:val="24"/>
              </w:rPr>
              <w:t xml:space="preserve"> safety and health law, administrative law, employment law, labor law, constitutional law, corporate law, bankruptcy law, criminal law, and civil procedure law.</w:t>
            </w:r>
          </w:p>
          <w:p w14:paraId="2E6B73B5" w14:textId="77777777" w:rsidR="00C234D7" w:rsidRDefault="00C234D7" w:rsidP="00FC09A6">
            <w:pPr>
              <w:rPr>
                <w:rFonts w:ascii="Calibri" w:eastAsia="Tahoma" w:hAnsi="Calibri" w:cs="Tahoma"/>
                <w:color w:val="000000" w:themeColor="text1"/>
                <w:sz w:val="24"/>
                <w:szCs w:val="24"/>
              </w:rPr>
            </w:pPr>
          </w:p>
          <w:p w14:paraId="6B42A1A5" w14:textId="77777777" w:rsidR="0010656D" w:rsidRPr="00912A18" w:rsidRDefault="00C234D7" w:rsidP="00FC09A6">
            <w:pPr>
              <w:rPr>
                <w:rFonts w:ascii="Calibri" w:eastAsia="Tahoma" w:hAnsi="Calibri" w:cs="Tahoma"/>
                <w:color w:val="000000" w:themeColor="text1"/>
                <w:sz w:val="24"/>
                <w:szCs w:val="24"/>
              </w:rPr>
            </w:pPr>
            <w:r w:rsidRPr="00C234D7">
              <w:rPr>
                <w:rFonts w:ascii="Calibri" w:eastAsia="Tahoma" w:hAnsi="Calibri" w:cs="Tahoma"/>
                <w:color w:val="000000" w:themeColor="text1"/>
                <w:sz w:val="24"/>
                <w:szCs w:val="24"/>
              </w:rPr>
              <w:t>Essential functions of this position are to perform competently an</w:t>
            </w:r>
            <w:r>
              <w:rPr>
                <w:rFonts w:ascii="Calibri" w:eastAsia="Tahoma" w:hAnsi="Calibri" w:cs="Tahoma"/>
                <w:color w:val="000000" w:themeColor="text1"/>
                <w:sz w:val="24"/>
                <w:szCs w:val="24"/>
              </w:rPr>
              <w:t xml:space="preserve">d with strong technical skills </w:t>
            </w:r>
            <w:r w:rsidRPr="00C234D7">
              <w:rPr>
                <w:rFonts w:ascii="Calibri" w:eastAsia="Tahoma" w:hAnsi="Calibri" w:cs="Tahoma"/>
                <w:color w:val="000000" w:themeColor="text1"/>
                <w:sz w:val="24"/>
                <w:szCs w:val="24"/>
              </w:rPr>
              <w:t>in the specific job duties identified below; to accomplish assigned legal work with minimal supervision and exercising broad discretion, while also taking and following direction from the Assistant Chief Counsels and D</w:t>
            </w:r>
            <w:r>
              <w:rPr>
                <w:rFonts w:ascii="Calibri" w:eastAsia="Tahoma" w:hAnsi="Calibri" w:cs="Tahoma"/>
                <w:color w:val="000000" w:themeColor="text1"/>
                <w:sz w:val="24"/>
                <w:szCs w:val="24"/>
              </w:rPr>
              <w:t>OSH</w:t>
            </w:r>
            <w:r w:rsidRPr="00C234D7">
              <w:rPr>
                <w:rFonts w:ascii="Calibri" w:eastAsia="Tahoma" w:hAnsi="Calibri" w:cs="Tahoma"/>
                <w:color w:val="000000" w:themeColor="text1"/>
                <w:sz w:val="24"/>
                <w:szCs w:val="24"/>
              </w:rPr>
              <w:t xml:space="preserve"> leadership; to communicate effectively both orally and in writing, as required for the specific job duties, including by consistently producing well-written and compelling legal briefs and other written work product; to appear and perform competently and with a high degree of expertise and professionalism i</w:t>
            </w:r>
            <w:r>
              <w:rPr>
                <w:rFonts w:ascii="Calibri" w:eastAsia="Tahoma" w:hAnsi="Calibri" w:cs="Tahoma"/>
                <w:color w:val="000000" w:themeColor="text1"/>
                <w:sz w:val="24"/>
                <w:szCs w:val="24"/>
              </w:rPr>
              <w:t>n</w:t>
            </w:r>
            <w:r w:rsidRPr="00C234D7">
              <w:rPr>
                <w:rFonts w:ascii="Calibri" w:eastAsia="Tahoma" w:hAnsi="Calibri" w:cs="Tahoma"/>
                <w:color w:val="000000" w:themeColor="text1"/>
                <w:sz w:val="24"/>
                <w:szCs w:val="24"/>
              </w:rPr>
              <w:t xml:space="preserve"> civil or administrative courts; to communicate in a professional, respectful and productive manner with opposing counsel, clients, stakeholders, colleagues, and the public; to travel as necessary and as assigned; and to demonstrate good judgment and act with high ethical standards</w:t>
            </w:r>
            <w:r w:rsidR="00957FC7">
              <w:rPr>
                <w:rFonts w:ascii="Calibri" w:eastAsia="Tahoma" w:hAnsi="Calibri" w:cs="Tahoma"/>
                <w:color w:val="000000" w:themeColor="text1"/>
                <w:sz w:val="24"/>
                <w:szCs w:val="24"/>
              </w:rPr>
              <w:t xml:space="preserve"> and professionalism</w:t>
            </w:r>
            <w:r w:rsidRPr="00C234D7">
              <w:rPr>
                <w:rFonts w:ascii="Calibri" w:eastAsia="Tahoma" w:hAnsi="Calibri" w:cs="Tahoma"/>
                <w:color w:val="000000" w:themeColor="text1"/>
                <w:sz w:val="24"/>
                <w:szCs w:val="24"/>
              </w:rPr>
              <w:t xml:space="preserve">.  </w:t>
            </w:r>
          </w:p>
        </w:tc>
      </w:tr>
    </w:tbl>
    <w:p w14:paraId="173D2774" w14:textId="77777777" w:rsidR="00E95A9F" w:rsidRDefault="00E95A9F" w:rsidP="00560262">
      <w:pPr>
        <w:spacing w:after="0"/>
        <w:rPr>
          <w:b/>
          <w:sz w:val="24"/>
          <w:szCs w:val="24"/>
        </w:rPr>
      </w:pPr>
    </w:p>
    <w:tbl>
      <w:tblPr>
        <w:tblStyle w:val="TableGrid"/>
        <w:tblW w:w="0" w:type="auto"/>
        <w:tblLook w:val="04A0" w:firstRow="1" w:lastRow="0" w:firstColumn="1" w:lastColumn="0" w:noHBand="0" w:noVBand="1"/>
      </w:tblPr>
      <w:tblGrid>
        <w:gridCol w:w="1525"/>
        <w:gridCol w:w="7825"/>
      </w:tblGrid>
      <w:tr w:rsidR="0010656D" w14:paraId="5380AB75" w14:textId="77777777" w:rsidTr="0010656D">
        <w:tc>
          <w:tcPr>
            <w:tcW w:w="1525" w:type="dxa"/>
          </w:tcPr>
          <w:p w14:paraId="201F3AC6" w14:textId="77777777" w:rsidR="0010656D" w:rsidRDefault="0010656D" w:rsidP="00560262">
            <w:pPr>
              <w:rPr>
                <w:b/>
                <w:sz w:val="24"/>
                <w:szCs w:val="24"/>
              </w:rPr>
            </w:pPr>
            <w:r>
              <w:rPr>
                <w:b/>
                <w:sz w:val="24"/>
                <w:szCs w:val="24"/>
              </w:rPr>
              <w:t>% OF DUTIES</w:t>
            </w:r>
          </w:p>
        </w:tc>
        <w:tc>
          <w:tcPr>
            <w:tcW w:w="7825" w:type="dxa"/>
          </w:tcPr>
          <w:p w14:paraId="691E8928" w14:textId="77777777" w:rsidR="0010656D" w:rsidRDefault="0010656D" w:rsidP="0010656D">
            <w:pPr>
              <w:jc w:val="center"/>
              <w:rPr>
                <w:b/>
                <w:sz w:val="24"/>
                <w:szCs w:val="24"/>
              </w:rPr>
            </w:pPr>
            <w:r>
              <w:rPr>
                <w:b/>
                <w:sz w:val="24"/>
                <w:szCs w:val="24"/>
              </w:rPr>
              <w:t>ESSENTIAL FUNCTIONS</w:t>
            </w:r>
          </w:p>
        </w:tc>
      </w:tr>
      <w:tr w:rsidR="0010656D" w14:paraId="5FAA8C5D" w14:textId="77777777" w:rsidTr="0010656D">
        <w:tc>
          <w:tcPr>
            <w:tcW w:w="1525" w:type="dxa"/>
          </w:tcPr>
          <w:p w14:paraId="0A3E7EE0" w14:textId="77777777" w:rsidR="0010656D" w:rsidRDefault="0010656D" w:rsidP="00560262">
            <w:pPr>
              <w:rPr>
                <w:b/>
                <w:sz w:val="24"/>
                <w:szCs w:val="24"/>
              </w:rPr>
            </w:pPr>
          </w:p>
          <w:p w14:paraId="1A9602E9" w14:textId="77777777" w:rsidR="0010656D" w:rsidRPr="00BF6B7B" w:rsidRDefault="00E65ABD" w:rsidP="00E65ABD">
            <w:pPr>
              <w:rPr>
                <w:sz w:val="24"/>
                <w:szCs w:val="24"/>
              </w:rPr>
            </w:pPr>
            <w:r w:rsidRPr="00BF6B7B">
              <w:rPr>
                <w:sz w:val="24"/>
                <w:szCs w:val="24"/>
              </w:rPr>
              <w:t>45%</w:t>
            </w:r>
          </w:p>
          <w:p w14:paraId="07FA6C94" w14:textId="77777777" w:rsidR="0010656D" w:rsidRDefault="0010656D" w:rsidP="00560262">
            <w:pPr>
              <w:rPr>
                <w:b/>
                <w:sz w:val="24"/>
                <w:szCs w:val="24"/>
              </w:rPr>
            </w:pPr>
          </w:p>
        </w:tc>
        <w:tc>
          <w:tcPr>
            <w:tcW w:w="7825" w:type="dxa"/>
          </w:tcPr>
          <w:p w14:paraId="2D242BA1" w14:textId="77777777" w:rsidR="0010656D" w:rsidRPr="00FC09A6" w:rsidRDefault="00FC09A6" w:rsidP="00BF6B7B">
            <w:pPr>
              <w:rPr>
                <w:sz w:val="24"/>
                <w:szCs w:val="24"/>
              </w:rPr>
            </w:pPr>
            <w:r w:rsidRPr="00FC09A6">
              <w:rPr>
                <w:sz w:val="24"/>
                <w:szCs w:val="24"/>
              </w:rPr>
              <w:t>Represent DOSH as a civil prosecutor before the Appeals Board in complex appeals and reconsideration proceedings</w:t>
            </w:r>
            <w:r w:rsidR="00BF6B7B">
              <w:rPr>
                <w:sz w:val="24"/>
                <w:szCs w:val="24"/>
              </w:rPr>
              <w:t xml:space="preserve"> through all stages of the hearing process, including, but not limited to, attending pre-hearing conferences and status conferences,  </w:t>
            </w:r>
            <w:r w:rsidRPr="00FC09A6">
              <w:rPr>
                <w:sz w:val="24"/>
                <w:szCs w:val="24"/>
              </w:rPr>
              <w:t>prepar</w:t>
            </w:r>
            <w:r w:rsidR="00BF6B7B">
              <w:rPr>
                <w:sz w:val="24"/>
                <w:szCs w:val="24"/>
              </w:rPr>
              <w:t>ing</w:t>
            </w:r>
            <w:r w:rsidR="00E210A5">
              <w:rPr>
                <w:sz w:val="24"/>
                <w:szCs w:val="24"/>
              </w:rPr>
              <w:t xml:space="preserve"> </w:t>
            </w:r>
            <w:r w:rsidR="00BF6B7B">
              <w:rPr>
                <w:sz w:val="24"/>
                <w:szCs w:val="24"/>
              </w:rPr>
              <w:t xml:space="preserve">and responding to motions, petitions for reconsideration, discovery, and other legal correspondence; preparing and examining witnesses; and, conducting oral argument. </w:t>
            </w:r>
          </w:p>
        </w:tc>
      </w:tr>
      <w:tr w:rsidR="00E65ABD" w14:paraId="11F5A72A" w14:textId="77777777" w:rsidTr="0010656D">
        <w:tc>
          <w:tcPr>
            <w:tcW w:w="1525" w:type="dxa"/>
          </w:tcPr>
          <w:p w14:paraId="2CD7B390" w14:textId="77777777" w:rsidR="00E65ABD" w:rsidRPr="00BF6B7B" w:rsidRDefault="003D29D9" w:rsidP="00560262">
            <w:pPr>
              <w:rPr>
                <w:sz w:val="24"/>
                <w:szCs w:val="24"/>
              </w:rPr>
            </w:pPr>
            <w:r w:rsidRPr="00BF6B7B">
              <w:rPr>
                <w:sz w:val="24"/>
                <w:szCs w:val="24"/>
              </w:rPr>
              <w:t>20</w:t>
            </w:r>
            <w:r w:rsidR="00E65ABD" w:rsidRPr="00BF6B7B">
              <w:rPr>
                <w:sz w:val="24"/>
                <w:szCs w:val="24"/>
              </w:rPr>
              <w:t>%</w:t>
            </w:r>
          </w:p>
        </w:tc>
        <w:tc>
          <w:tcPr>
            <w:tcW w:w="7825" w:type="dxa"/>
          </w:tcPr>
          <w:p w14:paraId="6A1064BD" w14:textId="77777777" w:rsidR="00E65ABD" w:rsidRPr="00FC09A6" w:rsidRDefault="009F2E9B" w:rsidP="009F2E9B">
            <w:pPr>
              <w:rPr>
                <w:sz w:val="24"/>
                <w:szCs w:val="24"/>
              </w:rPr>
            </w:pPr>
            <w:r>
              <w:rPr>
                <w:sz w:val="24"/>
                <w:szCs w:val="24"/>
              </w:rPr>
              <w:t>R</w:t>
            </w:r>
            <w:r w:rsidR="00E65ABD">
              <w:rPr>
                <w:sz w:val="24"/>
                <w:szCs w:val="24"/>
              </w:rPr>
              <w:t>epresent</w:t>
            </w:r>
            <w:r w:rsidR="00E65ABD" w:rsidRPr="00FC09A6">
              <w:rPr>
                <w:sz w:val="24"/>
                <w:szCs w:val="24"/>
              </w:rPr>
              <w:t xml:space="preserve"> DOSH in writs of mandate filed by and against DOSH before trial and a</w:t>
            </w:r>
            <w:r w:rsidR="00E65ABD">
              <w:rPr>
                <w:sz w:val="24"/>
                <w:szCs w:val="24"/>
              </w:rPr>
              <w:t xml:space="preserve">ppellate courts; </w:t>
            </w:r>
            <w:r w:rsidR="00E65ABD" w:rsidRPr="00FC09A6">
              <w:rPr>
                <w:sz w:val="24"/>
                <w:szCs w:val="24"/>
              </w:rPr>
              <w:t>appeals of denial of a permit or revocation of a license or certification</w:t>
            </w:r>
            <w:r w:rsidR="00BF6B7B">
              <w:rPr>
                <w:sz w:val="24"/>
                <w:szCs w:val="24"/>
              </w:rPr>
              <w:t>;</w:t>
            </w:r>
            <w:r w:rsidR="00E65ABD" w:rsidRPr="00FC09A6">
              <w:rPr>
                <w:sz w:val="24"/>
                <w:szCs w:val="24"/>
              </w:rPr>
              <w:t xml:space="preserve"> and</w:t>
            </w:r>
            <w:r w:rsidR="00BF6B7B">
              <w:rPr>
                <w:sz w:val="24"/>
                <w:szCs w:val="24"/>
              </w:rPr>
              <w:t>,</w:t>
            </w:r>
            <w:r w:rsidR="00E65ABD" w:rsidRPr="00FC09A6">
              <w:rPr>
                <w:sz w:val="24"/>
                <w:szCs w:val="24"/>
              </w:rPr>
              <w:t xml:space="preserve"> the issuance of inspection warrants.</w:t>
            </w:r>
          </w:p>
        </w:tc>
      </w:tr>
      <w:tr w:rsidR="0010656D" w14:paraId="3D87E472" w14:textId="77777777" w:rsidTr="0010656D">
        <w:tc>
          <w:tcPr>
            <w:tcW w:w="1525" w:type="dxa"/>
          </w:tcPr>
          <w:p w14:paraId="181ABD71" w14:textId="77777777" w:rsidR="0010656D" w:rsidRDefault="0010656D" w:rsidP="00560262">
            <w:pPr>
              <w:rPr>
                <w:b/>
                <w:sz w:val="24"/>
                <w:szCs w:val="24"/>
              </w:rPr>
            </w:pPr>
          </w:p>
          <w:p w14:paraId="54E260F4" w14:textId="77777777" w:rsidR="0010656D" w:rsidRDefault="0010656D" w:rsidP="00560262">
            <w:pPr>
              <w:rPr>
                <w:b/>
                <w:sz w:val="24"/>
                <w:szCs w:val="24"/>
              </w:rPr>
            </w:pPr>
          </w:p>
          <w:p w14:paraId="0BAE66BB" w14:textId="77777777" w:rsidR="0010656D" w:rsidRPr="00FC09A6" w:rsidRDefault="00370F03" w:rsidP="00560262">
            <w:pPr>
              <w:rPr>
                <w:sz w:val="24"/>
                <w:szCs w:val="24"/>
              </w:rPr>
            </w:pPr>
            <w:r>
              <w:rPr>
                <w:sz w:val="24"/>
                <w:szCs w:val="24"/>
              </w:rPr>
              <w:t>2</w:t>
            </w:r>
            <w:r w:rsidR="004131E3">
              <w:rPr>
                <w:sz w:val="24"/>
                <w:szCs w:val="24"/>
              </w:rPr>
              <w:t>0</w:t>
            </w:r>
            <w:r w:rsidR="00FC09A6" w:rsidRPr="00FC09A6">
              <w:rPr>
                <w:sz w:val="24"/>
                <w:szCs w:val="24"/>
              </w:rPr>
              <w:t>%</w:t>
            </w:r>
          </w:p>
          <w:p w14:paraId="3CA7D19A" w14:textId="77777777" w:rsidR="0010656D" w:rsidRDefault="0010656D" w:rsidP="00560262">
            <w:pPr>
              <w:rPr>
                <w:b/>
                <w:sz w:val="24"/>
                <w:szCs w:val="24"/>
              </w:rPr>
            </w:pPr>
          </w:p>
        </w:tc>
        <w:tc>
          <w:tcPr>
            <w:tcW w:w="7825" w:type="dxa"/>
          </w:tcPr>
          <w:p w14:paraId="0D20C73B" w14:textId="77777777" w:rsidR="00370F03" w:rsidRPr="00FC09A6" w:rsidRDefault="00845024" w:rsidP="00BF6B7B">
            <w:pPr>
              <w:rPr>
                <w:sz w:val="24"/>
                <w:szCs w:val="24"/>
              </w:rPr>
            </w:pPr>
            <w:r>
              <w:rPr>
                <w:rFonts w:ascii="Calibri" w:eastAsia="Tahoma" w:hAnsi="Calibri" w:cs="Tahoma"/>
                <w:color w:val="000000" w:themeColor="text1"/>
                <w:sz w:val="24"/>
                <w:szCs w:val="24"/>
              </w:rPr>
              <w:t xml:space="preserve"> Provide legal analysis, advice  and representation to the </w:t>
            </w:r>
            <w:r w:rsidR="00751B69">
              <w:rPr>
                <w:rFonts w:ascii="Calibri" w:eastAsia="Tahoma" w:hAnsi="Calibri" w:cs="Tahoma"/>
                <w:color w:val="000000" w:themeColor="text1"/>
                <w:sz w:val="24"/>
                <w:szCs w:val="24"/>
              </w:rPr>
              <w:t>Chief</w:t>
            </w:r>
            <w:r>
              <w:rPr>
                <w:rFonts w:ascii="Calibri" w:eastAsia="Tahoma" w:hAnsi="Calibri" w:cs="Tahoma"/>
                <w:color w:val="000000" w:themeColor="text1"/>
                <w:sz w:val="24"/>
                <w:szCs w:val="24"/>
              </w:rPr>
              <w:t xml:space="preserve"> and the D</w:t>
            </w:r>
            <w:r w:rsidR="00751B69">
              <w:rPr>
                <w:rFonts w:ascii="Calibri" w:eastAsia="Tahoma" w:hAnsi="Calibri" w:cs="Tahoma"/>
                <w:color w:val="000000" w:themeColor="text1"/>
                <w:sz w:val="24"/>
                <w:szCs w:val="24"/>
              </w:rPr>
              <w:t xml:space="preserve">ivision in one or more of the following subject areas, as assigned, and based on the operational needs of the unit:  1) </w:t>
            </w:r>
            <w:r w:rsidR="00751B69">
              <w:rPr>
                <w:sz w:val="24"/>
                <w:szCs w:val="24"/>
              </w:rPr>
              <w:t>assume</w:t>
            </w:r>
            <w:r w:rsidR="00370F03" w:rsidRPr="00370F03">
              <w:rPr>
                <w:sz w:val="24"/>
                <w:szCs w:val="24"/>
              </w:rPr>
              <w:t xml:space="preserve"> responsibility for development and preparation of occupational safety and health and administrative enforcement regulations in conjunction with Administration and</w:t>
            </w:r>
            <w:r w:rsidR="005C6D6A">
              <w:rPr>
                <w:sz w:val="24"/>
                <w:szCs w:val="24"/>
              </w:rPr>
              <w:t>/or</w:t>
            </w:r>
            <w:r w:rsidR="00370F03" w:rsidRPr="00370F03">
              <w:rPr>
                <w:sz w:val="24"/>
                <w:szCs w:val="24"/>
              </w:rPr>
              <w:t xml:space="preserve"> Occupational and H</w:t>
            </w:r>
            <w:r w:rsidR="00751B69">
              <w:rPr>
                <w:sz w:val="24"/>
                <w:szCs w:val="24"/>
              </w:rPr>
              <w:t>ealth Standards Board personnel; 2) c</w:t>
            </w:r>
            <w:r w:rsidR="00370F03" w:rsidRPr="00370F03">
              <w:rPr>
                <w:sz w:val="24"/>
                <w:szCs w:val="24"/>
              </w:rPr>
              <w:t xml:space="preserve">onducts or advises in the conduct </w:t>
            </w:r>
            <w:r w:rsidR="00751B69">
              <w:rPr>
                <w:sz w:val="24"/>
                <w:szCs w:val="24"/>
              </w:rPr>
              <w:t xml:space="preserve">of regulatory variance hearings; 3) </w:t>
            </w:r>
            <w:r w:rsidR="005C6D6A">
              <w:rPr>
                <w:sz w:val="24"/>
                <w:szCs w:val="24"/>
              </w:rPr>
              <w:t xml:space="preserve">conducts or advises in the conduct of hearings to revoke or suspend </w:t>
            </w:r>
            <w:r w:rsidR="00BF6B7B">
              <w:rPr>
                <w:sz w:val="24"/>
                <w:szCs w:val="24"/>
              </w:rPr>
              <w:t>certificates</w:t>
            </w:r>
            <w:r w:rsidR="005C6D6A">
              <w:rPr>
                <w:sz w:val="24"/>
                <w:szCs w:val="24"/>
              </w:rPr>
              <w:t xml:space="preserve"> or permits issued by the Division; 4)</w:t>
            </w:r>
            <w:r w:rsidR="00751B69">
              <w:rPr>
                <w:sz w:val="24"/>
                <w:szCs w:val="24"/>
              </w:rPr>
              <w:t>a</w:t>
            </w:r>
            <w:r w:rsidR="00370F03" w:rsidRPr="00370F03">
              <w:rPr>
                <w:sz w:val="24"/>
                <w:szCs w:val="24"/>
              </w:rPr>
              <w:t xml:space="preserve">nalyzes, evaluates, and makes recommendations to the Chief concerning proposed legislation affecting the DOSH, </w:t>
            </w:r>
            <w:r w:rsidR="00751B69">
              <w:rPr>
                <w:sz w:val="24"/>
                <w:szCs w:val="24"/>
              </w:rPr>
              <w:t xml:space="preserve">including </w:t>
            </w:r>
            <w:r w:rsidR="00370F03" w:rsidRPr="00370F03">
              <w:rPr>
                <w:sz w:val="24"/>
                <w:szCs w:val="24"/>
              </w:rPr>
              <w:t>draft</w:t>
            </w:r>
            <w:r w:rsidR="00751B69">
              <w:rPr>
                <w:sz w:val="24"/>
                <w:szCs w:val="24"/>
              </w:rPr>
              <w:t>ing and reviewing</w:t>
            </w:r>
            <w:r w:rsidR="00370F03" w:rsidRPr="00370F03">
              <w:rPr>
                <w:sz w:val="24"/>
                <w:szCs w:val="24"/>
              </w:rPr>
              <w:t xml:space="preserve"> bill analyses fo</w:t>
            </w:r>
            <w:r w:rsidR="00751B69">
              <w:rPr>
                <w:sz w:val="24"/>
                <w:szCs w:val="24"/>
              </w:rPr>
              <w:t>r the Department of Industrial Relations;</w:t>
            </w:r>
            <w:r w:rsidR="00370F03" w:rsidRPr="00370F03">
              <w:rPr>
                <w:sz w:val="24"/>
                <w:szCs w:val="24"/>
              </w:rPr>
              <w:t xml:space="preserve"> </w:t>
            </w:r>
            <w:r w:rsidR="005C6D6A">
              <w:rPr>
                <w:sz w:val="24"/>
                <w:szCs w:val="24"/>
              </w:rPr>
              <w:t>5</w:t>
            </w:r>
            <w:r w:rsidR="00751B69">
              <w:rPr>
                <w:sz w:val="24"/>
                <w:szCs w:val="24"/>
              </w:rPr>
              <w:t xml:space="preserve">) </w:t>
            </w:r>
            <w:r w:rsidR="00370F03" w:rsidRPr="00370F03">
              <w:rPr>
                <w:sz w:val="24"/>
                <w:szCs w:val="24"/>
              </w:rPr>
              <w:t xml:space="preserve"> assist</w:t>
            </w:r>
            <w:r w:rsidR="00751B69">
              <w:rPr>
                <w:sz w:val="24"/>
                <w:szCs w:val="24"/>
              </w:rPr>
              <w:t xml:space="preserve">ing </w:t>
            </w:r>
            <w:r w:rsidR="00370F03" w:rsidRPr="00370F03">
              <w:rPr>
                <w:sz w:val="24"/>
                <w:szCs w:val="24"/>
              </w:rPr>
              <w:t xml:space="preserve">in the development and drafting of proposed legislation for the </w:t>
            </w:r>
            <w:r w:rsidR="00370F03" w:rsidRPr="00370F03">
              <w:rPr>
                <w:sz w:val="24"/>
                <w:szCs w:val="24"/>
              </w:rPr>
              <w:lastRenderedPageBreak/>
              <w:t>adva</w:t>
            </w:r>
            <w:r w:rsidR="00751B69">
              <w:rPr>
                <w:sz w:val="24"/>
                <w:szCs w:val="24"/>
              </w:rPr>
              <w:t xml:space="preserve">ncement of the Cal/OSHA program; and </w:t>
            </w:r>
            <w:r w:rsidR="005C6D6A">
              <w:rPr>
                <w:sz w:val="24"/>
                <w:szCs w:val="24"/>
              </w:rPr>
              <w:t>6</w:t>
            </w:r>
            <w:r w:rsidR="00751B69">
              <w:rPr>
                <w:sz w:val="24"/>
                <w:szCs w:val="24"/>
              </w:rPr>
              <w:t>) c</w:t>
            </w:r>
            <w:r w:rsidR="00370F03" w:rsidRPr="00370F03">
              <w:rPr>
                <w:sz w:val="24"/>
                <w:szCs w:val="24"/>
              </w:rPr>
              <w:t xml:space="preserve">oordinates legal aspects of responding to requests under the California Public Records Act, </w:t>
            </w:r>
            <w:r w:rsidR="00751B69">
              <w:rPr>
                <w:sz w:val="24"/>
                <w:szCs w:val="24"/>
              </w:rPr>
              <w:t>including</w:t>
            </w:r>
            <w:r w:rsidR="00370F03" w:rsidRPr="00370F03">
              <w:rPr>
                <w:sz w:val="24"/>
                <w:szCs w:val="24"/>
              </w:rPr>
              <w:t xml:space="preserve"> assist</w:t>
            </w:r>
            <w:r w:rsidR="00751B69">
              <w:rPr>
                <w:sz w:val="24"/>
                <w:szCs w:val="24"/>
              </w:rPr>
              <w:t>ing</w:t>
            </w:r>
            <w:r w:rsidR="00370F03" w:rsidRPr="00370F03">
              <w:rPr>
                <w:sz w:val="24"/>
                <w:szCs w:val="24"/>
              </w:rPr>
              <w:t xml:space="preserve"> the Public Information Office with legal aspects of responding to public information inquiries.</w:t>
            </w:r>
          </w:p>
        </w:tc>
      </w:tr>
      <w:tr w:rsidR="0010656D" w14:paraId="12CDE682" w14:textId="77777777" w:rsidTr="0010656D">
        <w:tc>
          <w:tcPr>
            <w:tcW w:w="1525" w:type="dxa"/>
          </w:tcPr>
          <w:p w14:paraId="2153C43B" w14:textId="77777777" w:rsidR="0010656D" w:rsidRDefault="0010656D" w:rsidP="00560262">
            <w:pPr>
              <w:rPr>
                <w:b/>
                <w:sz w:val="24"/>
                <w:szCs w:val="24"/>
              </w:rPr>
            </w:pPr>
          </w:p>
          <w:p w14:paraId="259BC49B" w14:textId="77777777" w:rsidR="0010656D" w:rsidRDefault="003D29D9" w:rsidP="003D29D9">
            <w:pPr>
              <w:rPr>
                <w:b/>
                <w:sz w:val="24"/>
                <w:szCs w:val="24"/>
              </w:rPr>
            </w:pPr>
            <w:r>
              <w:rPr>
                <w:sz w:val="24"/>
                <w:szCs w:val="24"/>
              </w:rPr>
              <w:t xml:space="preserve"> </w:t>
            </w:r>
            <w:r w:rsidR="00370F03">
              <w:rPr>
                <w:sz w:val="24"/>
                <w:szCs w:val="24"/>
              </w:rPr>
              <w:t>10</w:t>
            </w:r>
            <w:r>
              <w:rPr>
                <w:sz w:val="24"/>
                <w:szCs w:val="24"/>
              </w:rPr>
              <w:t>%</w:t>
            </w:r>
          </w:p>
        </w:tc>
        <w:tc>
          <w:tcPr>
            <w:tcW w:w="7825" w:type="dxa"/>
          </w:tcPr>
          <w:p w14:paraId="63D2387C" w14:textId="77777777" w:rsidR="00370F03" w:rsidRPr="00141A45" w:rsidRDefault="00370F03">
            <w:pPr>
              <w:rPr>
                <w:sz w:val="24"/>
                <w:szCs w:val="24"/>
              </w:rPr>
            </w:pPr>
            <w:r w:rsidRPr="00370F03">
              <w:rPr>
                <w:sz w:val="24"/>
                <w:szCs w:val="24"/>
              </w:rPr>
              <w:t xml:space="preserve">Provide legal advice to Division Administration and compliance personnel concerning enforcement and other policy issues. May also provide legal advice to the DOSH Bureau of Investigations (BOI) or assist with responding </w:t>
            </w:r>
            <w:r w:rsidR="005213C9">
              <w:rPr>
                <w:sz w:val="24"/>
                <w:szCs w:val="24"/>
              </w:rPr>
              <w:t>to discovery or subpoenas</w:t>
            </w:r>
            <w:r w:rsidR="00751B69">
              <w:rPr>
                <w:sz w:val="24"/>
                <w:szCs w:val="24"/>
              </w:rPr>
              <w:t xml:space="preserve"> as assigned</w:t>
            </w:r>
            <w:r w:rsidR="005213C9">
              <w:rPr>
                <w:sz w:val="24"/>
                <w:szCs w:val="24"/>
              </w:rPr>
              <w:t xml:space="preserve">. </w:t>
            </w:r>
            <w:r w:rsidR="00751B69">
              <w:rPr>
                <w:sz w:val="24"/>
                <w:szCs w:val="24"/>
              </w:rPr>
              <w:t>May a</w:t>
            </w:r>
            <w:r w:rsidR="005213C9">
              <w:rPr>
                <w:sz w:val="24"/>
                <w:szCs w:val="24"/>
              </w:rPr>
              <w:t>c</w:t>
            </w:r>
            <w:r w:rsidRPr="00370F03">
              <w:rPr>
                <w:sz w:val="24"/>
                <w:szCs w:val="24"/>
              </w:rPr>
              <w:t>t as lead or co-counsel over less experienced staff.</w:t>
            </w:r>
          </w:p>
        </w:tc>
      </w:tr>
      <w:tr w:rsidR="0010656D" w14:paraId="7878AB99" w14:textId="77777777" w:rsidTr="0010656D">
        <w:tc>
          <w:tcPr>
            <w:tcW w:w="1525" w:type="dxa"/>
          </w:tcPr>
          <w:p w14:paraId="0010CD91" w14:textId="77777777" w:rsidR="0010656D" w:rsidRDefault="0010656D" w:rsidP="00560262">
            <w:pPr>
              <w:rPr>
                <w:b/>
                <w:sz w:val="24"/>
                <w:szCs w:val="24"/>
              </w:rPr>
            </w:pPr>
          </w:p>
        </w:tc>
        <w:tc>
          <w:tcPr>
            <w:tcW w:w="7825" w:type="dxa"/>
          </w:tcPr>
          <w:p w14:paraId="1FAAD9F7" w14:textId="77777777" w:rsidR="0010656D" w:rsidRDefault="0010656D" w:rsidP="0010656D">
            <w:pPr>
              <w:jc w:val="center"/>
              <w:rPr>
                <w:b/>
                <w:sz w:val="24"/>
                <w:szCs w:val="24"/>
              </w:rPr>
            </w:pPr>
            <w:r>
              <w:rPr>
                <w:b/>
                <w:sz w:val="24"/>
                <w:szCs w:val="24"/>
              </w:rPr>
              <w:t>MARGINAL FUNCTIONS</w:t>
            </w:r>
          </w:p>
        </w:tc>
      </w:tr>
      <w:tr w:rsidR="0010656D" w14:paraId="6757B27A" w14:textId="77777777" w:rsidTr="0010656D">
        <w:tc>
          <w:tcPr>
            <w:tcW w:w="1525" w:type="dxa"/>
          </w:tcPr>
          <w:p w14:paraId="485C1660" w14:textId="77777777" w:rsidR="0010656D" w:rsidRPr="00141A45" w:rsidRDefault="0010656D" w:rsidP="00560262">
            <w:pPr>
              <w:rPr>
                <w:sz w:val="24"/>
                <w:szCs w:val="24"/>
              </w:rPr>
            </w:pPr>
          </w:p>
          <w:p w14:paraId="0FD33C37" w14:textId="77777777" w:rsidR="000A0254" w:rsidRPr="00141A45" w:rsidRDefault="00141A45" w:rsidP="00560262">
            <w:pPr>
              <w:rPr>
                <w:sz w:val="24"/>
                <w:szCs w:val="24"/>
              </w:rPr>
            </w:pPr>
            <w:r w:rsidRPr="00141A45">
              <w:rPr>
                <w:sz w:val="24"/>
                <w:szCs w:val="24"/>
              </w:rPr>
              <w:t>5%</w:t>
            </w:r>
          </w:p>
          <w:p w14:paraId="35B9CD91" w14:textId="77777777" w:rsidR="000A0254" w:rsidRPr="00141A45" w:rsidRDefault="000A0254" w:rsidP="00560262">
            <w:pPr>
              <w:rPr>
                <w:sz w:val="24"/>
                <w:szCs w:val="24"/>
              </w:rPr>
            </w:pPr>
          </w:p>
          <w:p w14:paraId="3410075F" w14:textId="77777777" w:rsidR="0010656D" w:rsidRPr="00141A45" w:rsidRDefault="0010656D" w:rsidP="00560262">
            <w:pPr>
              <w:rPr>
                <w:sz w:val="24"/>
                <w:szCs w:val="24"/>
              </w:rPr>
            </w:pPr>
          </w:p>
        </w:tc>
        <w:tc>
          <w:tcPr>
            <w:tcW w:w="7825" w:type="dxa"/>
          </w:tcPr>
          <w:p w14:paraId="65F79D3A" w14:textId="77777777" w:rsidR="0010656D" w:rsidRPr="00141A45" w:rsidRDefault="00141A45">
            <w:pPr>
              <w:rPr>
                <w:sz w:val="24"/>
                <w:szCs w:val="24"/>
              </w:rPr>
            </w:pPr>
            <w:r w:rsidRPr="00141A45">
              <w:rPr>
                <w:sz w:val="24"/>
                <w:szCs w:val="24"/>
              </w:rPr>
              <w:t>Prepare curriculum for and conducts training of enforcement and consultation staff, writes or reviews sections of the DOSH Policy and Procedures Manual, drafts or reviews educational materials, and conducts presentations or other outreach to the public.</w:t>
            </w:r>
            <w:r w:rsidR="003D29D9">
              <w:rPr>
                <w:sz w:val="24"/>
                <w:szCs w:val="24"/>
              </w:rPr>
              <w:t xml:space="preserve"> </w:t>
            </w:r>
            <w:r w:rsidR="003D29D9" w:rsidRPr="00141A45">
              <w:rPr>
                <w:sz w:val="24"/>
                <w:szCs w:val="24"/>
              </w:rPr>
              <w:t>Perform</w:t>
            </w:r>
            <w:r w:rsidR="00751B69">
              <w:rPr>
                <w:sz w:val="24"/>
                <w:szCs w:val="24"/>
              </w:rPr>
              <w:t>s</w:t>
            </w:r>
            <w:r w:rsidR="003D29D9" w:rsidRPr="00141A45">
              <w:rPr>
                <w:sz w:val="24"/>
                <w:szCs w:val="24"/>
              </w:rPr>
              <w:t xml:space="preserve"> other </w:t>
            </w:r>
            <w:r w:rsidR="00EF7277">
              <w:rPr>
                <w:sz w:val="24"/>
                <w:szCs w:val="24"/>
              </w:rPr>
              <w:t>related duties as required to fulfill the Division and Legal Unit objectives</w:t>
            </w:r>
            <w:r w:rsidR="004131E3">
              <w:rPr>
                <w:sz w:val="24"/>
                <w:szCs w:val="24"/>
              </w:rPr>
              <w:t>.</w:t>
            </w:r>
          </w:p>
        </w:tc>
      </w:tr>
      <w:tr w:rsidR="00141A45" w14:paraId="5D1BF9E1" w14:textId="77777777" w:rsidTr="0010656D">
        <w:tc>
          <w:tcPr>
            <w:tcW w:w="1525" w:type="dxa"/>
          </w:tcPr>
          <w:p w14:paraId="2A66EE8E" w14:textId="77777777" w:rsidR="00141A45" w:rsidRPr="00141A45" w:rsidRDefault="00141A45" w:rsidP="003D29D9">
            <w:pPr>
              <w:rPr>
                <w:sz w:val="24"/>
                <w:szCs w:val="24"/>
              </w:rPr>
            </w:pPr>
          </w:p>
        </w:tc>
        <w:tc>
          <w:tcPr>
            <w:tcW w:w="7825" w:type="dxa"/>
          </w:tcPr>
          <w:p w14:paraId="49DA7735" w14:textId="77777777" w:rsidR="00141A45" w:rsidRPr="00141A45" w:rsidRDefault="00141A45" w:rsidP="00141A45">
            <w:pPr>
              <w:rPr>
                <w:sz w:val="24"/>
                <w:szCs w:val="24"/>
              </w:rPr>
            </w:pPr>
          </w:p>
        </w:tc>
      </w:tr>
    </w:tbl>
    <w:p w14:paraId="154E0D79" w14:textId="77777777" w:rsidR="0010656D" w:rsidRPr="00E95A9F" w:rsidRDefault="0010656D" w:rsidP="00560262">
      <w:pPr>
        <w:spacing w:after="0"/>
        <w:rPr>
          <w:b/>
          <w:sz w:val="24"/>
          <w:szCs w:val="24"/>
        </w:rPr>
      </w:pPr>
    </w:p>
    <w:tbl>
      <w:tblPr>
        <w:tblStyle w:val="TableGrid"/>
        <w:tblW w:w="0" w:type="auto"/>
        <w:tblLook w:val="04A0" w:firstRow="1" w:lastRow="0" w:firstColumn="1" w:lastColumn="0" w:noHBand="0" w:noVBand="1"/>
      </w:tblPr>
      <w:tblGrid>
        <w:gridCol w:w="9350"/>
      </w:tblGrid>
      <w:tr w:rsidR="00EB21F0" w:rsidRPr="00E56F56" w14:paraId="18AD0905" w14:textId="77777777" w:rsidTr="00FC09A6">
        <w:tc>
          <w:tcPr>
            <w:tcW w:w="9350" w:type="dxa"/>
          </w:tcPr>
          <w:p w14:paraId="6E67A189" w14:textId="77777777" w:rsidR="00EB21F0" w:rsidRPr="00EB21F0" w:rsidRDefault="000A0254" w:rsidP="0010656D">
            <w:pPr>
              <w:jc w:val="center"/>
              <w:rPr>
                <w:rFonts w:ascii="Calibri" w:eastAsia="Tahoma" w:hAnsi="Calibri" w:cs="Tahoma"/>
                <w:b/>
                <w:color w:val="000000" w:themeColor="text1"/>
                <w:sz w:val="24"/>
                <w:szCs w:val="24"/>
              </w:rPr>
            </w:pPr>
            <w:r>
              <w:rPr>
                <w:rFonts w:ascii="Calibri" w:eastAsia="Tahoma" w:hAnsi="Calibri" w:cs="Tahoma"/>
                <w:b/>
                <w:color w:val="000000" w:themeColor="text1"/>
                <w:sz w:val="24"/>
                <w:szCs w:val="24"/>
              </w:rPr>
              <w:t>CONDUCT, ATTENDANCE, AND PERFORMANCE EXPECTATIONS</w:t>
            </w:r>
          </w:p>
        </w:tc>
      </w:tr>
      <w:tr w:rsidR="00EB21F0" w:rsidRPr="00E56F56" w14:paraId="68E69FCF" w14:textId="77777777" w:rsidTr="00FC09A6">
        <w:tc>
          <w:tcPr>
            <w:tcW w:w="9350" w:type="dxa"/>
          </w:tcPr>
          <w:p w14:paraId="413FCF38" w14:textId="77777777" w:rsidR="00C30C29" w:rsidRPr="00FC09A6" w:rsidRDefault="00C30C29" w:rsidP="00C30C29">
            <w:pPr>
              <w:rPr>
                <w:rFonts w:ascii="Calibri" w:eastAsia="Tahoma" w:hAnsi="Calibri" w:cs="Tahoma"/>
                <w:color w:val="000000" w:themeColor="text1"/>
                <w:sz w:val="24"/>
                <w:szCs w:val="24"/>
              </w:rPr>
            </w:pPr>
          </w:p>
          <w:p w14:paraId="2BA15FD8" w14:textId="45BF9F2B" w:rsidR="00100776" w:rsidRPr="00CC255B" w:rsidRDefault="00C30C29" w:rsidP="000C649B">
            <w:pPr>
              <w:rPr>
                <w:rFonts w:ascii="Calibri" w:eastAsia="Tahoma" w:hAnsi="Calibri" w:cs="Tahoma"/>
                <w:color w:val="000000" w:themeColor="text1"/>
                <w:sz w:val="24"/>
                <w:szCs w:val="24"/>
              </w:rPr>
            </w:pPr>
            <w:r w:rsidRPr="00FC09A6">
              <w:rPr>
                <w:rFonts w:ascii="Calibri" w:eastAsia="Tahoma" w:hAnsi="Calibri" w:cs="Tahoma"/>
                <w:color w:val="000000" w:themeColor="text1"/>
                <w:sz w:val="24"/>
                <w:szCs w:val="24"/>
              </w:rPr>
              <w:t>The Attorney III is required to take substantial initiative, exercise a considerable amount of discretion,</w:t>
            </w:r>
            <w:r w:rsidR="000C649B">
              <w:rPr>
                <w:rFonts w:ascii="Calibri" w:eastAsia="Tahoma" w:hAnsi="Calibri" w:cs="Tahoma"/>
                <w:color w:val="000000" w:themeColor="text1"/>
                <w:sz w:val="24"/>
                <w:szCs w:val="24"/>
              </w:rPr>
              <w:t xml:space="preserve"> behave in an honest, fair and ethical manner, </w:t>
            </w:r>
            <w:r w:rsidR="000C649B" w:rsidRPr="00FC09A6">
              <w:rPr>
                <w:rFonts w:ascii="Calibri" w:eastAsia="Tahoma" w:hAnsi="Calibri" w:cs="Tahoma"/>
                <w:color w:val="000000" w:themeColor="text1"/>
                <w:sz w:val="24"/>
                <w:szCs w:val="24"/>
              </w:rPr>
              <w:t>display</w:t>
            </w:r>
            <w:r w:rsidRPr="00FC09A6">
              <w:rPr>
                <w:rFonts w:ascii="Calibri" w:eastAsia="Tahoma" w:hAnsi="Calibri" w:cs="Tahoma"/>
                <w:color w:val="000000" w:themeColor="text1"/>
                <w:sz w:val="24"/>
                <w:szCs w:val="24"/>
              </w:rPr>
              <w:t xml:space="preserve"> superior work habits (e.g., organizational skills, accountability, timely completion of assignments), work independently, and produce the highest quantity and quality of legal work.  </w:t>
            </w:r>
            <w:r w:rsidR="00A13826">
              <w:rPr>
                <w:rFonts w:ascii="Calibri" w:eastAsia="Tahoma" w:hAnsi="Calibri" w:cs="Tahoma"/>
                <w:color w:val="000000" w:themeColor="text1"/>
                <w:sz w:val="24"/>
                <w:szCs w:val="24"/>
              </w:rPr>
              <w:t xml:space="preserve">The Attorney III is expected to be professional, </w:t>
            </w:r>
            <w:r w:rsidR="000C649B">
              <w:rPr>
                <w:rFonts w:ascii="Calibri" w:eastAsia="Tahoma" w:hAnsi="Calibri" w:cs="Tahoma"/>
                <w:color w:val="000000" w:themeColor="text1"/>
                <w:sz w:val="24"/>
                <w:szCs w:val="24"/>
              </w:rPr>
              <w:t>courteous, and work cooperatively with all levels of DOSH management</w:t>
            </w:r>
            <w:r w:rsidR="005213C9">
              <w:rPr>
                <w:rFonts w:ascii="Calibri" w:eastAsia="Tahoma" w:hAnsi="Calibri" w:cs="Tahoma"/>
                <w:color w:val="000000" w:themeColor="text1"/>
                <w:sz w:val="24"/>
                <w:szCs w:val="24"/>
              </w:rPr>
              <w:t>,</w:t>
            </w:r>
            <w:r w:rsidR="000C649B">
              <w:rPr>
                <w:rFonts w:ascii="Calibri" w:eastAsia="Tahoma" w:hAnsi="Calibri" w:cs="Tahoma"/>
                <w:color w:val="000000" w:themeColor="text1"/>
                <w:sz w:val="24"/>
                <w:szCs w:val="24"/>
              </w:rPr>
              <w:t xml:space="preserve"> staff</w:t>
            </w:r>
            <w:r w:rsidR="005213C9">
              <w:rPr>
                <w:rFonts w:ascii="Calibri" w:eastAsia="Tahoma" w:hAnsi="Calibri" w:cs="Tahoma"/>
                <w:color w:val="000000" w:themeColor="text1"/>
                <w:sz w:val="24"/>
                <w:szCs w:val="24"/>
              </w:rPr>
              <w:t xml:space="preserve">, </w:t>
            </w:r>
            <w:r w:rsidR="000C649B">
              <w:rPr>
                <w:rFonts w:ascii="Calibri" w:eastAsia="Tahoma" w:hAnsi="Calibri" w:cs="Tahoma"/>
                <w:color w:val="000000" w:themeColor="text1"/>
                <w:sz w:val="24"/>
                <w:szCs w:val="24"/>
              </w:rPr>
              <w:t xml:space="preserve">and the public. </w:t>
            </w:r>
            <w:r w:rsidR="00E210A5" w:rsidRPr="00CC255B">
              <w:rPr>
                <w:rFonts w:ascii="Calibri" w:eastAsia="Tahoma" w:hAnsi="Calibri" w:cs="Tahoma"/>
                <w:color w:val="000000" w:themeColor="text1"/>
                <w:sz w:val="24"/>
                <w:szCs w:val="24"/>
              </w:rPr>
              <w:t xml:space="preserve"> </w:t>
            </w:r>
            <w:r w:rsidR="0071301A">
              <w:rPr>
                <w:rFonts w:ascii="Calibri" w:eastAsia="Tahoma" w:hAnsi="Calibri" w:cs="Tahoma"/>
                <w:color w:val="000000" w:themeColor="text1"/>
                <w:sz w:val="24"/>
                <w:szCs w:val="24"/>
              </w:rPr>
              <w:t xml:space="preserve">The Attorney III </w:t>
            </w:r>
            <w:r w:rsidR="00370F03">
              <w:rPr>
                <w:rFonts w:ascii="Calibri" w:eastAsia="Tahoma" w:hAnsi="Calibri" w:cs="Tahoma"/>
                <w:color w:val="000000" w:themeColor="text1"/>
                <w:sz w:val="24"/>
                <w:szCs w:val="24"/>
              </w:rPr>
              <w:t>must</w:t>
            </w:r>
            <w:r w:rsidR="0071301A">
              <w:rPr>
                <w:rFonts w:ascii="Calibri" w:eastAsia="Tahoma" w:hAnsi="Calibri" w:cs="Tahoma"/>
                <w:color w:val="000000" w:themeColor="text1"/>
                <w:sz w:val="24"/>
                <w:szCs w:val="24"/>
              </w:rPr>
              <w:t xml:space="preserve"> </w:t>
            </w:r>
            <w:r w:rsidR="00E210A5" w:rsidRPr="00CC255B">
              <w:rPr>
                <w:rFonts w:ascii="Calibri" w:eastAsia="Tahoma" w:hAnsi="Calibri" w:cs="Tahoma"/>
                <w:color w:val="000000" w:themeColor="text1"/>
                <w:sz w:val="24"/>
                <w:szCs w:val="24"/>
              </w:rPr>
              <w:t xml:space="preserve">maintain consistent and regular attendance. </w:t>
            </w:r>
            <w:r w:rsidR="00FC09A6" w:rsidRPr="00CC255B">
              <w:rPr>
                <w:rFonts w:ascii="Calibri" w:eastAsia="Tahoma" w:hAnsi="Calibri" w:cs="Tahoma"/>
                <w:color w:val="000000" w:themeColor="text1"/>
                <w:sz w:val="24"/>
                <w:szCs w:val="24"/>
              </w:rPr>
              <w:t>Attorneys will normally average forty hours of work per week including paid leave; however, depending on workload, special assignments, or projects, attorneys may occasionally be required to work beyond the forty hours per week and are expected to work all hours necessary to accomplish their assignments and fulfill their responsibilities.</w:t>
            </w:r>
            <w:r w:rsidR="0060482E" w:rsidRPr="00CC255B">
              <w:rPr>
                <w:rFonts w:ascii="Calibri" w:eastAsia="Tahoma" w:hAnsi="Calibri" w:cs="Tahoma"/>
                <w:color w:val="000000" w:themeColor="text1"/>
                <w:sz w:val="24"/>
                <w:szCs w:val="24"/>
              </w:rPr>
              <w:t xml:space="preserve"> </w:t>
            </w:r>
            <w:r w:rsidR="0071301A">
              <w:rPr>
                <w:rFonts w:ascii="Calibri" w:eastAsia="Tahoma" w:hAnsi="Calibri" w:cs="Tahoma"/>
                <w:color w:val="000000" w:themeColor="text1"/>
                <w:sz w:val="24"/>
                <w:szCs w:val="24"/>
              </w:rPr>
              <w:t>The Attorney III travels throughout the state</w:t>
            </w:r>
            <w:r w:rsidR="00EF7277">
              <w:rPr>
                <w:rFonts w:ascii="Calibri" w:eastAsia="Tahoma" w:hAnsi="Calibri" w:cs="Tahoma"/>
                <w:color w:val="000000" w:themeColor="text1"/>
                <w:sz w:val="24"/>
                <w:szCs w:val="24"/>
              </w:rPr>
              <w:t xml:space="preserve"> as assigned</w:t>
            </w:r>
            <w:r w:rsidR="0071301A">
              <w:rPr>
                <w:rFonts w:ascii="Calibri" w:eastAsia="Tahoma" w:hAnsi="Calibri" w:cs="Tahoma"/>
                <w:color w:val="000000" w:themeColor="text1"/>
                <w:sz w:val="24"/>
                <w:szCs w:val="24"/>
              </w:rPr>
              <w:t xml:space="preserve"> </w:t>
            </w:r>
            <w:r w:rsidR="005213C9">
              <w:rPr>
                <w:rFonts w:ascii="Calibri" w:eastAsia="Tahoma" w:hAnsi="Calibri" w:cs="Tahoma"/>
                <w:color w:val="000000" w:themeColor="text1"/>
                <w:sz w:val="24"/>
                <w:szCs w:val="24"/>
              </w:rPr>
              <w:t>with</w:t>
            </w:r>
            <w:r w:rsidR="0071301A">
              <w:rPr>
                <w:rFonts w:ascii="Calibri" w:eastAsia="Tahoma" w:hAnsi="Calibri" w:cs="Tahoma"/>
                <w:color w:val="000000" w:themeColor="text1"/>
                <w:sz w:val="24"/>
                <w:szCs w:val="24"/>
              </w:rPr>
              <w:t xml:space="preserve"> overnight stays of varying length and frequency. </w:t>
            </w:r>
          </w:p>
        </w:tc>
      </w:tr>
    </w:tbl>
    <w:p w14:paraId="728DA6D5" w14:textId="77777777" w:rsidR="000A0254" w:rsidRDefault="000A0254" w:rsidP="00DA7E0C">
      <w:pPr>
        <w:spacing w:after="0"/>
        <w:jc w:val="center"/>
        <w:rPr>
          <w:b/>
          <w:sz w:val="24"/>
          <w:szCs w:val="24"/>
        </w:rPr>
      </w:pPr>
    </w:p>
    <w:p w14:paraId="3F462307" w14:textId="77777777" w:rsidR="00EF7277" w:rsidRDefault="00EF7277" w:rsidP="00DA7E0C">
      <w:pPr>
        <w:spacing w:after="0"/>
        <w:jc w:val="center"/>
        <w:rPr>
          <w:b/>
          <w:sz w:val="24"/>
          <w:szCs w:val="24"/>
        </w:rPr>
      </w:pPr>
    </w:p>
    <w:p w14:paraId="00BAA1E2" w14:textId="77777777" w:rsidR="00EF7277" w:rsidRDefault="00EF7277" w:rsidP="00DA7E0C">
      <w:pPr>
        <w:spacing w:after="0"/>
        <w:jc w:val="center"/>
        <w:rPr>
          <w:b/>
          <w:sz w:val="24"/>
          <w:szCs w:val="24"/>
        </w:rPr>
      </w:pPr>
    </w:p>
    <w:p w14:paraId="1B6C64E3" w14:textId="77777777" w:rsidR="0079004C" w:rsidRDefault="0079004C" w:rsidP="000A0254">
      <w:pPr>
        <w:spacing w:before="11"/>
        <w:jc w:val="center"/>
        <w:rPr>
          <w:rFonts w:cstheme="minorHAnsi"/>
          <w:b/>
        </w:rPr>
      </w:pPr>
    </w:p>
    <w:p w14:paraId="18AE7B45" w14:textId="77777777" w:rsidR="0079004C" w:rsidRDefault="0079004C" w:rsidP="000A0254">
      <w:pPr>
        <w:spacing w:before="11"/>
        <w:jc w:val="center"/>
        <w:rPr>
          <w:rFonts w:cstheme="minorHAnsi"/>
          <w:b/>
        </w:rPr>
      </w:pPr>
    </w:p>
    <w:p w14:paraId="589B2F32" w14:textId="77777777" w:rsidR="0079004C" w:rsidRDefault="0079004C" w:rsidP="000A0254">
      <w:pPr>
        <w:spacing w:before="11"/>
        <w:jc w:val="center"/>
        <w:rPr>
          <w:rFonts w:cstheme="minorHAnsi"/>
          <w:b/>
        </w:rPr>
      </w:pPr>
    </w:p>
    <w:p w14:paraId="12E10284" w14:textId="78BBD304" w:rsidR="000A0254" w:rsidRDefault="000A0254" w:rsidP="000A0254">
      <w:pPr>
        <w:spacing w:before="11"/>
        <w:jc w:val="center"/>
        <w:rPr>
          <w:rFonts w:cstheme="minorHAnsi"/>
          <w:b/>
        </w:rPr>
      </w:pPr>
      <w:r>
        <w:rPr>
          <w:rFonts w:cstheme="minorHAnsi"/>
          <w:b/>
        </w:rPr>
        <w:t>EMPLOYEE ACKNOWLEDGEMENT</w:t>
      </w:r>
    </w:p>
    <w:p w14:paraId="5D2A4A42" w14:textId="2DBDB800" w:rsidR="000A0254" w:rsidRPr="000A0254" w:rsidRDefault="000A0254" w:rsidP="006D4A63">
      <w:pPr>
        <w:spacing w:before="11"/>
        <w:rPr>
          <w:rFonts w:cstheme="minorHAnsi"/>
        </w:rPr>
      </w:pPr>
      <w:r>
        <w:rPr>
          <w:rFonts w:cstheme="minorHAnsi"/>
        </w:rPr>
        <w:t>I have read and und</w:t>
      </w:r>
      <w:r w:rsidR="0079004C">
        <w:rPr>
          <w:rFonts w:cstheme="minorHAnsi"/>
        </w:rPr>
        <w:t>erstand the duties listed above a</w:t>
      </w:r>
      <w:r>
        <w:rPr>
          <w:rFonts w:cstheme="minorHAnsi"/>
        </w:rPr>
        <w:t>nd I certify that I possess essential personal qualifications including integrity, initiative, dependability, good judgement, and ability to work cooperatively with others</w:t>
      </w:r>
      <w:r w:rsidR="006D4A63">
        <w:rPr>
          <w:rFonts w:cstheme="minorHAnsi"/>
        </w:rPr>
        <w:t>;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p w14:paraId="6AACEFF4" w14:textId="77777777" w:rsidR="000A0254" w:rsidRDefault="000A0254" w:rsidP="000A0254">
      <w:pPr>
        <w:spacing w:before="10"/>
        <w:rPr>
          <w:b/>
          <w:sz w:val="15"/>
        </w:rPr>
      </w:pPr>
      <w:r>
        <w:rPr>
          <w:noProof/>
        </w:rPr>
        <mc:AlternateContent>
          <mc:Choice Requires="wps">
            <w:drawing>
              <wp:anchor distT="0" distB="0" distL="0" distR="0" simplePos="0" relativeHeight="251659264" behindDoc="1" locked="0" layoutInCell="1" allowOverlap="1" wp14:anchorId="524AC72D" wp14:editId="19C7FBC4">
                <wp:simplePos x="0" y="0"/>
                <wp:positionH relativeFrom="page">
                  <wp:posOffset>893445</wp:posOffset>
                </wp:positionH>
                <wp:positionV relativeFrom="paragraph">
                  <wp:posOffset>143510</wp:posOffset>
                </wp:positionV>
                <wp:extent cx="5948680" cy="0"/>
                <wp:effectExtent l="7620" t="13335" r="6350" b="571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8B79D"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35pt,11.3pt" to="53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3dGgIAAEEEAAAOAAAAZHJzL2Uyb0RvYy54bWysU8GO2yAQvVfqPyDuie3US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" strokeweight=".1272mm">
                <w10:wrap type="topAndBottom" anchorx="page"/>
              </v:line>
            </w:pict>
          </mc:Fallback>
        </mc:AlternateContent>
      </w:r>
    </w:p>
    <w:p w14:paraId="077E5D67" w14:textId="77777777" w:rsidR="000A0254" w:rsidRDefault="006D4A63" w:rsidP="000A0254">
      <w:pPr>
        <w:rPr>
          <w:b/>
        </w:rPr>
      </w:pPr>
      <w:r>
        <w:rPr>
          <w:b/>
        </w:rPr>
        <w:t>Print Employee Name                                         Employee Signature                                                Date</w:t>
      </w:r>
    </w:p>
    <w:p w14:paraId="15D1F244" w14:textId="77777777" w:rsidR="006D4A63" w:rsidRDefault="006D4A63" w:rsidP="000A0254">
      <w:pPr>
        <w:rPr>
          <w:b/>
        </w:rPr>
      </w:pPr>
    </w:p>
    <w:p w14:paraId="3247D6DF" w14:textId="77777777" w:rsidR="006D4A63" w:rsidRDefault="006D4A63" w:rsidP="006D4A63">
      <w:pPr>
        <w:jc w:val="center"/>
        <w:rPr>
          <w:b/>
        </w:rPr>
      </w:pPr>
      <w:r>
        <w:rPr>
          <w:b/>
        </w:rPr>
        <w:t>SUPERVISOR ACKNOWLEDGEMENT</w:t>
      </w:r>
    </w:p>
    <w:p w14:paraId="090AFD62" w14:textId="77777777" w:rsidR="006D4A63" w:rsidRDefault="006D4A63" w:rsidP="006D4A63">
      <w:pPr>
        <w:jc w:val="center"/>
        <w:rPr>
          <w:b/>
        </w:rPr>
      </w:pPr>
    </w:p>
    <w:p w14:paraId="05A76050" w14:textId="77777777" w:rsidR="006D4A63" w:rsidRPr="006D4A63" w:rsidRDefault="006D4A63" w:rsidP="006D4A63">
      <w:r>
        <w:t xml:space="preserve">I certify this duty statement represents current and </w:t>
      </w:r>
      <w:r w:rsidR="00141A45">
        <w:t>a</w:t>
      </w:r>
      <w:r>
        <w:t>n accurate description of the essential functions of this position. I have discussed the duties of this position with the employee and provided the employee a copy of this duty statement.</w:t>
      </w:r>
    </w:p>
    <w:p w14:paraId="01268A06" w14:textId="77777777" w:rsidR="000A0254" w:rsidRPr="006D4A63" w:rsidRDefault="000A0254" w:rsidP="006D4A63">
      <w:pPr>
        <w:tabs>
          <w:tab w:val="left" w:pos="3516"/>
        </w:tabs>
        <w:spacing w:before="1"/>
        <w:ind w:left="112"/>
        <w:rPr>
          <w:b/>
          <w:sz w:val="19"/>
        </w:rPr>
      </w:pPr>
    </w:p>
    <w:p w14:paraId="3E89BB0E" w14:textId="77777777" w:rsidR="000A0254" w:rsidRDefault="000A0254" w:rsidP="000A0254">
      <w:pPr>
        <w:pStyle w:val="Heading1"/>
        <w:tabs>
          <w:tab w:val="left" w:pos="3372"/>
          <w:tab w:val="left" w:pos="6482"/>
        </w:tabs>
        <w:spacing w:before="97"/>
        <w:ind w:left="259"/>
      </w:pPr>
      <w:r>
        <w:rPr>
          <w:color w:val="313131"/>
          <w:w w:val="105"/>
          <w:position w:val="1"/>
        </w:rPr>
        <w:tab/>
      </w:r>
    </w:p>
    <w:p w14:paraId="44D9EEBD" w14:textId="77777777" w:rsidR="000A0254" w:rsidRDefault="000A0254" w:rsidP="000A0254">
      <w:pPr>
        <w:spacing w:line="22" w:lineRule="exact"/>
        <w:ind w:left="116"/>
        <w:rPr>
          <w:sz w:val="2"/>
        </w:rPr>
      </w:pPr>
      <w:r>
        <w:rPr>
          <w:noProof/>
          <w:sz w:val="2"/>
        </w:rPr>
        <mc:AlternateContent>
          <mc:Choice Requires="wpg">
            <w:drawing>
              <wp:inline distT="0" distB="0" distL="0" distR="0" wp14:anchorId="28124FB1" wp14:editId="618809B2">
                <wp:extent cx="5930265" cy="13970"/>
                <wp:effectExtent l="10160" t="635" r="12700" b="444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3970"/>
                          <a:chOff x="0" y="0"/>
                          <a:chExt cx="9339" cy="22"/>
                        </a:xfrm>
                      </wpg:grpSpPr>
                      <wps:wsp>
                        <wps:cNvPr id="5" name="Line 4"/>
                        <wps:cNvCnPr>
                          <a:cxnSpLocks noChangeShapeType="1"/>
                        </wps:cNvCnPr>
                        <wps:spPr bwMode="auto">
                          <a:xfrm>
                            <a:off x="0" y="11"/>
                            <a:ext cx="9339"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2E9313" id="Group 3" o:spid="_x0000_s1026" style="width:466.95pt;height:1.1pt;mso-position-horizontal-relative:char;mso-position-vertical-relative:line" coordsize="9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">
                <v:line id="Line 4" o:spid="_x0000_s1027" style="position:absolute;visibility:visible;mso-wrap-style:square" from="0,11" to="93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" strokeweight=".38169mm"/>
                <w10:anchorlock/>
              </v:group>
            </w:pict>
          </mc:Fallback>
        </mc:AlternateContent>
      </w:r>
    </w:p>
    <w:p w14:paraId="77A8A81E" w14:textId="77777777" w:rsidR="00DA7E0C" w:rsidRPr="006D4A63" w:rsidRDefault="00DA7E0C" w:rsidP="006D4A63">
      <w:pPr>
        <w:spacing w:after="0"/>
        <w:rPr>
          <w:b/>
        </w:rPr>
      </w:pPr>
      <w:r w:rsidRPr="006D4A63">
        <w:rPr>
          <w:b/>
        </w:rPr>
        <w:t xml:space="preserve"> </w:t>
      </w:r>
      <w:r w:rsidR="006D4A63" w:rsidRPr="006D4A63">
        <w:rPr>
          <w:b/>
        </w:rPr>
        <w:t xml:space="preserve">Print Supervisor Name                                   </w:t>
      </w:r>
      <w:r w:rsidR="006D4A63">
        <w:rPr>
          <w:b/>
        </w:rPr>
        <w:t xml:space="preserve">    </w:t>
      </w:r>
      <w:r w:rsidR="006D4A63" w:rsidRPr="006D4A63">
        <w:rPr>
          <w:b/>
        </w:rPr>
        <w:t xml:space="preserve"> Supervisor Signature                                 </w:t>
      </w:r>
      <w:r w:rsidR="006D4A63">
        <w:rPr>
          <w:b/>
        </w:rPr>
        <w:t xml:space="preserve">         </w:t>
      </w:r>
      <w:r w:rsidR="006D4A63" w:rsidRPr="006D4A63">
        <w:rPr>
          <w:b/>
        </w:rPr>
        <w:t xml:space="preserve"> Date</w:t>
      </w:r>
    </w:p>
    <w:p w14:paraId="1C46707A" w14:textId="77777777" w:rsidR="00DA7E0C" w:rsidRDefault="00DA7E0C" w:rsidP="00DA7E0C">
      <w:pPr>
        <w:spacing w:after="0"/>
        <w:jc w:val="center"/>
        <w:rPr>
          <w:b/>
          <w:sz w:val="24"/>
          <w:szCs w:val="24"/>
        </w:rPr>
      </w:pPr>
    </w:p>
    <w:p w14:paraId="5555A93F" w14:textId="77777777" w:rsidR="00DA7E0C" w:rsidRDefault="00DA7E0C" w:rsidP="006D4A63">
      <w:pPr>
        <w:spacing w:after="0"/>
        <w:rPr>
          <w:rFonts w:ascii="Calibri" w:eastAsia="Tahoma" w:hAnsi="Calibri" w:cs="Tahoma"/>
          <w:b/>
          <w:color w:val="000000" w:themeColor="text1"/>
          <w:sz w:val="24"/>
          <w:szCs w:val="24"/>
        </w:rPr>
      </w:pPr>
    </w:p>
    <w:sectPr w:rsidR="00DA7E0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3647D" w14:textId="77777777" w:rsidR="008F36AB" w:rsidRDefault="008F36AB" w:rsidP="00AB1960">
      <w:pPr>
        <w:spacing w:after="0" w:line="240" w:lineRule="auto"/>
      </w:pPr>
      <w:r>
        <w:separator/>
      </w:r>
    </w:p>
  </w:endnote>
  <w:endnote w:type="continuationSeparator" w:id="0">
    <w:p w14:paraId="278F1663" w14:textId="77777777" w:rsidR="008F36AB" w:rsidRDefault="008F36AB" w:rsidP="00AB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025594"/>
      <w:docPartObj>
        <w:docPartGallery w:val="Page Numbers (Bottom of Page)"/>
        <w:docPartUnique/>
      </w:docPartObj>
    </w:sdtPr>
    <w:sdtEndPr/>
    <w:sdtContent>
      <w:sdt>
        <w:sdtPr>
          <w:id w:val="1728636285"/>
          <w:docPartObj>
            <w:docPartGallery w:val="Page Numbers (Top of Page)"/>
            <w:docPartUnique/>
          </w:docPartObj>
        </w:sdtPr>
        <w:sdtEndPr/>
        <w:sdtContent>
          <w:p w14:paraId="39315E6B" w14:textId="302FBAA2" w:rsidR="0062222C" w:rsidRDefault="0062222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B64F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64FA">
              <w:rPr>
                <w:b/>
                <w:bCs/>
                <w:noProof/>
              </w:rPr>
              <w:t>4</w:t>
            </w:r>
            <w:r>
              <w:rPr>
                <w:b/>
                <w:bCs/>
                <w:sz w:val="24"/>
                <w:szCs w:val="24"/>
              </w:rPr>
              <w:fldChar w:fldCharType="end"/>
            </w:r>
          </w:p>
          <w:p w14:paraId="71988004" w14:textId="5DFE9459" w:rsidR="0062222C" w:rsidRDefault="0062222C" w:rsidP="0062222C">
            <w:pPr>
              <w:pStyle w:val="Footer"/>
            </w:pPr>
            <w:r>
              <w:t>DIRHR 006</w:t>
            </w:r>
            <w:r>
              <w:tab/>
            </w:r>
            <w:r>
              <w:tab/>
              <w:t>(rev 8/2019)</w:t>
            </w:r>
          </w:p>
          <w:p w14:paraId="08E8194C" w14:textId="111DA436" w:rsidR="0062222C" w:rsidRDefault="00FB64FA">
            <w:pPr>
              <w:pStyle w:val="Footer"/>
              <w:jc w:val="center"/>
            </w:pPr>
          </w:p>
        </w:sdtContent>
      </w:sdt>
    </w:sdtContent>
  </w:sdt>
  <w:p w14:paraId="4A4999AF" w14:textId="7D00FD7E" w:rsidR="0060482E" w:rsidRPr="0062222C" w:rsidRDefault="0060482E" w:rsidP="00622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A043B" w14:textId="77777777" w:rsidR="008F36AB" w:rsidRDefault="008F36AB" w:rsidP="00AB1960">
      <w:pPr>
        <w:spacing w:after="0" w:line="240" w:lineRule="auto"/>
      </w:pPr>
      <w:r>
        <w:separator/>
      </w:r>
    </w:p>
  </w:footnote>
  <w:footnote w:type="continuationSeparator" w:id="0">
    <w:p w14:paraId="43E8E865" w14:textId="77777777" w:rsidR="008F36AB" w:rsidRDefault="008F36AB" w:rsidP="00AB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AA7E" w14:textId="77777777" w:rsidR="0060482E" w:rsidRDefault="0060482E">
    <w:pPr>
      <w:pStyle w:val="Header"/>
    </w:pPr>
    <w:r>
      <w:tab/>
    </w:r>
    <w:r>
      <w:tab/>
    </w:r>
  </w:p>
  <w:p w14:paraId="60526EDA" w14:textId="77777777" w:rsidR="0060482E" w:rsidRPr="00AB1960" w:rsidRDefault="0060482E" w:rsidP="00AB1960">
    <w:pPr>
      <w:pStyle w:val="Header"/>
      <w:rPr>
        <w:sz w:val="24"/>
        <w:szCs w:val="24"/>
      </w:rPr>
    </w:pPr>
    <w:r>
      <w:rPr>
        <w:noProof/>
      </w:rPr>
      <mc:AlternateContent>
        <mc:Choice Requires="wps">
          <w:drawing>
            <wp:anchor distT="45720" distB="45720" distL="114300" distR="114300" simplePos="0" relativeHeight="251657216" behindDoc="0" locked="0" layoutInCell="1" allowOverlap="1" wp14:anchorId="24FE0EC9" wp14:editId="4189FE26">
              <wp:simplePos x="0" y="0"/>
              <wp:positionH relativeFrom="column">
                <wp:posOffset>3133725</wp:posOffset>
              </wp:positionH>
              <wp:positionV relativeFrom="paragraph">
                <wp:posOffset>286385</wp:posOffset>
              </wp:positionV>
              <wp:extent cx="3724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9525">
                        <a:noFill/>
                        <a:miter lim="800000"/>
                        <a:headEnd/>
                        <a:tailEnd/>
                      </a:ln>
                    </wps:spPr>
                    <wps:txbx>
                      <w:txbxContent>
                        <w:p w14:paraId="295588AF" w14:textId="77777777" w:rsidR="0060482E" w:rsidRPr="0038328B" w:rsidRDefault="0060482E" w:rsidP="00AB1960">
                          <w:pPr>
                            <w:rPr>
                              <w:b/>
                              <w:sz w:val="24"/>
                              <w:szCs w:val="24"/>
                            </w:rPr>
                          </w:pPr>
                          <w:r w:rsidRPr="0038328B">
                            <w:rPr>
                              <w:b/>
                              <w:sz w:val="24"/>
                              <w:szCs w:val="24"/>
                            </w:rPr>
                            <w:t>Department of Industrial Relations                                State of California</w:t>
                          </w:r>
                        </w:p>
                        <w:p w14:paraId="51695905" w14:textId="77777777" w:rsidR="0060482E" w:rsidRDefault="006048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FE0EC9" id="_x0000_t202" coordsize="21600,21600" o:spt="202" path="m,l,21600r21600,l21600,xe">
              <v:stroke joinstyle="miter"/>
              <v:path gradientshapeok="t" o:connecttype="rect"/>
            </v:shapetype>
            <v:shape id="Text Box 2" o:spid="_x0000_s1026" type="#_x0000_t202" style="position:absolute;margin-left:246.75pt;margin-top:22.55pt;width:293.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rb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" stroked="f">
              <v:textbox style="mso-fit-shape-to-text:t">
                <w:txbxContent>
                  <w:p w14:paraId="295588AF" w14:textId="77777777" w:rsidR="0060482E" w:rsidRPr="0038328B" w:rsidRDefault="0060482E" w:rsidP="00AB1960">
                    <w:pPr>
                      <w:rPr>
                        <w:b/>
                        <w:sz w:val="24"/>
                        <w:szCs w:val="24"/>
                      </w:rPr>
                    </w:pPr>
                    <w:r w:rsidRPr="0038328B">
                      <w:rPr>
                        <w:b/>
                        <w:sz w:val="24"/>
                        <w:szCs w:val="24"/>
                      </w:rPr>
                      <w:t>Department of Industrial Relations                                State of California</w:t>
                    </w:r>
                  </w:p>
                  <w:p w14:paraId="51695905" w14:textId="77777777" w:rsidR="0060482E" w:rsidRDefault="0060482E"/>
                </w:txbxContent>
              </v:textbox>
              <w10:wrap type="square"/>
            </v:shape>
          </w:pict>
        </mc:Fallback>
      </mc:AlternateContent>
    </w:r>
    <w:r>
      <w:rPr>
        <w:noProof/>
        <w:color w:val="1A0DAB"/>
        <w:sz w:val="20"/>
        <w:szCs w:val="20"/>
        <w:bdr w:val="none" w:sz="0" w:space="0" w:color="auto" w:frame="1"/>
      </w:rPr>
      <w:drawing>
        <wp:inline distT="0" distB="0" distL="0" distR="0" wp14:anchorId="65E7DC6E" wp14:editId="0B0065FE">
          <wp:extent cx="1571625" cy="1057275"/>
          <wp:effectExtent l="0" t="0" r="9525" b="9525"/>
          <wp:docPr id="8" name="Picture 8" descr="Image result for Department of Industrial Relation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epartment of Industrial Relation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1057275"/>
                  </a:xfrm>
                  <a:prstGeom prst="rect">
                    <a:avLst/>
                  </a:prstGeom>
                  <a:noFill/>
                  <a:ln>
                    <a:noFill/>
                  </a:ln>
                </pic:spPr>
              </pic:pic>
            </a:graphicData>
          </a:graphic>
        </wp:inline>
      </w:drawing>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B5EAA"/>
    <w:multiLevelType w:val="hybridMultilevel"/>
    <w:tmpl w:val="C420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D4F1F"/>
    <w:multiLevelType w:val="hybridMultilevel"/>
    <w:tmpl w:val="2B82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13534"/>
    <w:multiLevelType w:val="hybridMultilevel"/>
    <w:tmpl w:val="D912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60"/>
    <w:rsid w:val="0002031A"/>
    <w:rsid w:val="000516F5"/>
    <w:rsid w:val="00056B5E"/>
    <w:rsid w:val="000A0254"/>
    <w:rsid w:val="000B12D4"/>
    <w:rsid w:val="000C57E7"/>
    <w:rsid w:val="000C649B"/>
    <w:rsid w:val="000C6CF3"/>
    <w:rsid w:val="000E1968"/>
    <w:rsid w:val="00100776"/>
    <w:rsid w:val="00104CC4"/>
    <w:rsid w:val="0010656D"/>
    <w:rsid w:val="00141A45"/>
    <w:rsid w:val="00164C99"/>
    <w:rsid w:val="00166F1B"/>
    <w:rsid w:val="001806AD"/>
    <w:rsid w:val="00187DD1"/>
    <w:rsid w:val="001C7345"/>
    <w:rsid w:val="001E0696"/>
    <w:rsid w:val="001E2C5C"/>
    <w:rsid w:val="002545B7"/>
    <w:rsid w:val="002B3051"/>
    <w:rsid w:val="002D1523"/>
    <w:rsid w:val="002F7FC9"/>
    <w:rsid w:val="0036298B"/>
    <w:rsid w:val="00370F03"/>
    <w:rsid w:val="003762F1"/>
    <w:rsid w:val="0038328B"/>
    <w:rsid w:val="003924FE"/>
    <w:rsid w:val="003D29D9"/>
    <w:rsid w:val="004131E3"/>
    <w:rsid w:val="00445D15"/>
    <w:rsid w:val="0046462C"/>
    <w:rsid w:val="004A43C0"/>
    <w:rsid w:val="00506141"/>
    <w:rsid w:val="00514364"/>
    <w:rsid w:val="005210AA"/>
    <w:rsid w:val="005213C9"/>
    <w:rsid w:val="0055681F"/>
    <w:rsid w:val="00560262"/>
    <w:rsid w:val="00574081"/>
    <w:rsid w:val="0058125A"/>
    <w:rsid w:val="00582715"/>
    <w:rsid w:val="00584880"/>
    <w:rsid w:val="00593347"/>
    <w:rsid w:val="005C6D6A"/>
    <w:rsid w:val="0060482E"/>
    <w:rsid w:val="0062222C"/>
    <w:rsid w:val="006301C4"/>
    <w:rsid w:val="00661AB5"/>
    <w:rsid w:val="006856CC"/>
    <w:rsid w:val="006B29A1"/>
    <w:rsid w:val="006C4779"/>
    <w:rsid w:val="006D4A63"/>
    <w:rsid w:val="0071301A"/>
    <w:rsid w:val="00724FDB"/>
    <w:rsid w:val="00751B69"/>
    <w:rsid w:val="00771EC8"/>
    <w:rsid w:val="0079004C"/>
    <w:rsid w:val="007C2CD8"/>
    <w:rsid w:val="00803FA2"/>
    <w:rsid w:val="00845024"/>
    <w:rsid w:val="00877948"/>
    <w:rsid w:val="008C62B5"/>
    <w:rsid w:val="008E1C20"/>
    <w:rsid w:val="008F36AB"/>
    <w:rsid w:val="008F6484"/>
    <w:rsid w:val="00912A18"/>
    <w:rsid w:val="00926F7D"/>
    <w:rsid w:val="00957FC7"/>
    <w:rsid w:val="00974DF0"/>
    <w:rsid w:val="009939AF"/>
    <w:rsid w:val="009B1D80"/>
    <w:rsid w:val="009C2279"/>
    <w:rsid w:val="009D173B"/>
    <w:rsid w:val="009F2E9B"/>
    <w:rsid w:val="00A0263E"/>
    <w:rsid w:val="00A13826"/>
    <w:rsid w:val="00A44B3E"/>
    <w:rsid w:val="00A61053"/>
    <w:rsid w:val="00AA182A"/>
    <w:rsid w:val="00AB1960"/>
    <w:rsid w:val="00AB2C82"/>
    <w:rsid w:val="00B071AE"/>
    <w:rsid w:val="00B15114"/>
    <w:rsid w:val="00B3110D"/>
    <w:rsid w:val="00B4313C"/>
    <w:rsid w:val="00BC605E"/>
    <w:rsid w:val="00BF352A"/>
    <w:rsid w:val="00BF6B7B"/>
    <w:rsid w:val="00C234D7"/>
    <w:rsid w:val="00C30C29"/>
    <w:rsid w:val="00C46737"/>
    <w:rsid w:val="00CB6366"/>
    <w:rsid w:val="00CC255B"/>
    <w:rsid w:val="00D0656B"/>
    <w:rsid w:val="00D10A1B"/>
    <w:rsid w:val="00D34481"/>
    <w:rsid w:val="00D44025"/>
    <w:rsid w:val="00D6504D"/>
    <w:rsid w:val="00DA7E0C"/>
    <w:rsid w:val="00DD549E"/>
    <w:rsid w:val="00E210A5"/>
    <w:rsid w:val="00E236CB"/>
    <w:rsid w:val="00E56F56"/>
    <w:rsid w:val="00E65ABD"/>
    <w:rsid w:val="00E95A9F"/>
    <w:rsid w:val="00EB21F0"/>
    <w:rsid w:val="00EC3F61"/>
    <w:rsid w:val="00ED3AC5"/>
    <w:rsid w:val="00EF7277"/>
    <w:rsid w:val="00F127FF"/>
    <w:rsid w:val="00F16025"/>
    <w:rsid w:val="00F1708B"/>
    <w:rsid w:val="00F375B0"/>
    <w:rsid w:val="00F64CE6"/>
    <w:rsid w:val="00FB10B9"/>
    <w:rsid w:val="00FB5B8D"/>
    <w:rsid w:val="00FB64FA"/>
    <w:rsid w:val="00FC09A6"/>
    <w:rsid w:val="00FC2DF7"/>
    <w:rsid w:val="00FE02ED"/>
    <w:rsid w:val="00FF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CCCE3"/>
  <w15:chartTrackingRefBased/>
  <w15:docId w15:val="{5947CE13-E5CE-405F-A043-7BB8B65E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6B"/>
  </w:style>
  <w:style w:type="paragraph" w:styleId="Heading1">
    <w:name w:val="heading 1"/>
    <w:basedOn w:val="Normal"/>
    <w:link w:val="Heading1Char"/>
    <w:uiPriority w:val="1"/>
    <w:qFormat/>
    <w:rsid w:val="000A0254"/>
    <w:pPr>
      <w:widowControl w:val="0"/>
      <w:autoSpaceDE w:val="0"/>
      <w:autoSpaceDN w:val="0"/>
      <w:spacing w:before="1" w:after="0" w:line="240" w:lineRule="auto"/>
      <w:ind w:left="112"/>
      <w:outlineLvl w:val="0"/>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60"/>
  </w:style>
  <w:style w:type="paragraph" w:styleId="Footer">
    <w:name w:val="footer"/>
    <w:basedOn w:val="Normal"/>
    <w:link w:val="FooterChar"/>
    <w:uiPriority w:val="99"/>
    <w:unhideWhenUsed/>
    <w:rsid w:val="00AB1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60"/>
  </w:style>
  <w:style w:type="table" w:styleId="TableGrid">
    <w:name w:val="Table Grid"/>
    <w:basedOn w:val="TableNormal"/>
    <w:uiPriority w:val="59"/>
    <w:rsid w:val="0038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301C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8E1C20"/>
    <w:pPr>
      <w:ind w:left="720"/>
      <w:contextualSpacing/>
    </w:pPr>
  </w:style>
  <w:style w:type="character" w:styleId="CommentReference">
    <w:name w:val="annotation reference"/>
    <w:basedOn w:val="DefaultParagraphFont"/>
    <w:uiPriority w:val="99"/>
    <w:semiHidden/>
    <w:unhideWhenUsed/>
    <w:rsid w:val="00560262"/>
    <w:rPr>
      <w:sz w:val="16"/>
      <w:szCs w:val="16"/>
    </w:rPr>
  </w:style>
  <w:style w:type="paragraph" w:styleId="CommentText">
    <w:name w:val="annotation text"/>
    <w:basedOn w:val="Normal"/>
    <w:link w:val="CommentTextChar"/>
    <w:uiPriority w:val="99"/>
    <w:semiHidden/>
    <w:unhideWhenUsed/>
    <w:rsid w:val="00560262"/>
    <w:pPr>
      <w:spacing w:line="240" w:lineRule="auto"/>
    </w:pPr>
    <w:rPr>
      <w:sz w:val="20"/>
      <w:szCs w:val="20"/>
    </w:rPr>
  </w:style>
  <w:style w:type="character" w:customStyle="1" w:styleId="CommentTextChar">
    <w:name w:val="Comment Text Char"/>
    <w:basedOn w:val="DefaultParagraphFont"/>
    <w:link w:val="CommentText"/>
    <w:uiPriority w:val="99"/>
    <w:semiHidden/>
    <w:rsid w:val="00560262"/>
    <w:rPr>
      <w:sz w:val="20"/>
      <w:szCs w:val="20"/>
    </w:rPr>
  </w:style>
  <w:style w:type="paragraph" w:styleId="CommentSubject">
    <w:name w:val="annotation subject"/>
    <w:basedOn w:val="CommentText"/>
    <w:next w:val="CommentText"/>
    <w:link w:val="CommentSubjectChar"/>
    <w:uiPriority w:val="99"/>
    <w:semiHidden/>
    <w:unhideWhenUsed/>
    <w:rsid w:val="00560262"/>
    <w:rPr>
      <w:b/>
      <w:bCs/>
    </w:rPr>
  </w:style>
  <w:style w:type="character" w:customStyle="1" w:styleId="CommentSubjectChar">
    <w:name w:val="Comment Subject Char"/>
    <w:basedOn w:val="CommentTextChar"/>
    <w:link w:val="CommentSubject"/>
    <w:uiPriority w:val="99"/>
    <w:semiHidden/>
    <w:rsid w:val="00560262"/>
    <w:rPr>
      <w:b/>
      <w:bCs/>
      <w:sz w:val="20"/>
      <w:szCs w:val="20"/>
    </w:rPr>
  </w:style>
  <w:style w:type="paragraph" w:styleId="BalloonText">
    <w:name w:val="Balloon Text"/>
    <w:basedOn w:val="Normal"/>
    <w:link w:val="BalloonTextChar"/>
    <w:uiPriority w:val="99"/>
    <w:semiHidden/>
    <w:unhideWhenUsed/>
    <w:rsid w:val="0056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262"/>
    <w:rPr>
      <w:rFonts w:ascii="Segoe UI" w:hAnsi="Segoe UI" w:cs="Segoe UI"/>
      <w:sz w:val="18"/>
      <w:szCs w:val="18"/>
    </w:rPr>
  </w:style>
  <w:style w:type="character" w:customStyle="1" w:styleId="Heading1Char">
    <w:name w:val="Heading 1 Char"/>
    <w:basedOn w:val="DefaultParagraphFont"/>
    <w:link w:val="Heading1"/>
    <w:uiPriority w:val="1"/>
    <w:rsid w:val="000A0254"/>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0A0254"/>
    <w:pPr>
      <w:widowControl w:val="0"/>
      <w:autoSpaceDE w:val="0"/>
      <w:autoSpaceDN w:val="0"/>
      <w:spacing w:after="0" w:line="240" w:lineRule="auto"/>
    </w:pPr>
    <w:rPr>
      <w:rFonts w:ascii="Times New Roman" w:eastAsia="Times New Roman" w:hAnsi="Times New Roman" w:cs="Times New Roman"/>
      <w:i/>
      <w:sz w:val="19"/>
      <w:szCs w:val="19"/>
    </w:rPr>
  </w:style>
  <w:style w:type="character" w:customStyle="1" w:styleId="BodyTextChar">
    <w:name w:val="Body Text Char"/>
    <w:basedOn w:val="DefaultParagraphFont"/>
    <w:link w:val="BodyText"/>
    <w:uiPriority w:val="1"/>
    <w:rsid w:val="000A0254"/>
    <w:rPr>
      <w:rFonts w:ascii="Times New Roman" w:eastAsia="Times New Roman" w:hAnsi="Times New Roman" w:cs="Times New Roman"/>
      <w: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33487">
      <w:bodyDiv w:val="1"/>
      <w:marLeft w:val="0"/>
      <w:marRight w:val="0"/>
      <w:marTop w:val="0"/>
      <w:marBottom w:val="0"/>
      <w:divBdr>
        <w:top w:val="none" w:sz="0" w:space="0" w:color="auto"/>
        <w:left w:val="none" w:sz="0" w:space="0" w:color="auto"/>
        <w:bottom w:val="none" w:sz="0" w:space="0" w:color="auto"/>
        <w:right w:val="none" w:sz="0" w:space="0" w:color="auto"/>
      </w:divBdr>
      <w:divsChild>
        <w:div w:id="314837567">
          <w:marLeft w:val="0"/>
          <w:marRight w:val="0"/>
          <w:marTop w:val="0"/>
          <w:marBottom w:val="0"/>
          <w:divBdr>
            <w:top w:val="none" w:sz="0" w:space="0" w:color="auto"/>
            <w:left w:val="none" w:sz="0" w:space="0" w:color="auto"/>
            <w:bottom w:val="none" w:sz="0" w:space="0" w:color="auto"/>
            <w:right w:val="none" w:sz="0" w:space="0" w:color="auto"/>
          </w:divBdr>
          <w:divsChild>
            <w:div w:id="766072672">
              <w:marLeft w:val="0"/>
              <w:marRight w:val="0"/>
              <w:marTop w:val="0"/>
              <w:marBottom w:val="0"/>
              <w:divBdr>
                <w:top w:val="none" w:sz="0" w:space="0" w:color="auto"/>
                <w:left w:val="none" w:sz="0" w:space="0" w:color="auto"/>
                <w:bottom w:val="none" w:sz="0" w:space="0" w:color="auto"/>
                <w:right w:val="none" w:sz="0" w:space="0" w:color="auto"/>
              </w:divBdr>
              <w:divsChild>
                <w:div w:id="1186092419">
                  <w:marLeft w:val="0"/>
                  <w:marRight w:val="0"/>
                  <w:marTop w:val="0"/>
                  <w:marBottom w:val="0"/>
                  <w:divBdr>
                    <w:top w:val="none" w:sz="0" w:space="0" w:color="auto"/>
                    <w:left w:val="none" w:sz="0" w:space="0" w:color="auto"/>
                    <w:bottom w:val="none" w:sz="0" w:space="0" w:color="auto"/>
                    <w:right w:val="none" w:sz="0" w:space="0" w:color="auto"/>
                  </w:divBdr>
                  <w:divsChild>
                    <w:div w:id="2026596458">
                      <w:marLeft w:val="0"/>
                      <w:marRight w:val="0"/>
                      <w:marTop w:val="0"/>
                      <w:marBottom w:val="0"/>
                      <w:divBdr>
                        <w:top w:val="none" w:sz="0" w:space="0" w:color="auto"/>
                        <w:left w:val="none" w:sz="0" w:space="0" w:color="auto"/>
                        <w:bottom w:val="none" w:sz="0" w:space="0" w:color="auto"/>
                        <w:right w:val="none" w:sz="0" w:space="0" w:color="auto"/>
                      </w:divBdr>
                      <w:divsChild>
                        <w:div w:id="1835606372">
                          <w:marLeft w:val="0"/>
                          <w:marRight w:val="0"/>
                          <w:marTop w:val="0"/>
                          <w:marBottom w:val="0"/>
                          <w:divBdr>
                            <w:top w:val="none" w:sz="0" w:space="0" w:color="auto"/>
                            <w:left w:val="none" w:sz="0" w:space="0" w:color="auto"/>
                            <w:bottom w:val="none" w:sz="0" w:space="0" w:color="auto"/>
                            <w:right w:val="none" w:sz="0" w:space="0" w:color="auto"/>
                          </w:divBdr>
                          <w:divsChild>
                            <w:div w:id="1573420824">
                              <w:marLeft w:val="-225"/>
                              <w:marRight w:val="-225"/>
                              <w:marTop w:val="0"/>
                              <w:marBottom w:val="0"/>
                              <w:divBdr>
                                <w:top w:val="none" w:sz="0" w:space="0" w:color="auto"/>
                                <w:left w:val="none" w:sz="0" w:space="0" w:color="auto"/>
                                <w:bottom w:val="none" w:sz="0" w:space="0" w:color="auto"/>
                                <w:right w:val="none" w:sz="0" w:space="0" w:color="auto"/>
                              </w:divBdr>
                              <w:divsChild>
                                <w:div w:id="1724601786">
                                  <w:marLeft w:val="0"/>
                                  <w:marRight w:val="0"/>
                                  <w:marTop w:val="0"/>
                                  <w:marBottom w:val="0"/>
                                  <w:divBdr>
                                    <w:top w:val="none" w:sz="0" w:space="0" w:color="auto"/>
                                    <w:left w:val="none" w:sz="0" w:space="0" w:color="auto"/>
                                    <w:bottom w:val="none" w:sz="0" w:space="0" w:color="auto"/>
                                    <w:right w:val="none" w:sz="0" w:space="0" w:color="auto"/>
                                  </w:divBdr>
                                  <w:divsChild>
                                    <w:div w:id="109251878">
                                      <w:marLeft w:val="0"/>
                                      <w:marRight w:val="0"/>
                                      <w:marTop w:val="0"/>
                                      <w:marBottom w:val="0"/>
                                      <w:divBdr>
                                        <w:top w:val="none" w:sz="0" w:space="0" w:color="auto"/>
                                        <w:left w:val="none" w:sz="0" w:space="0" w:color="auto"/>
                                        <w:bottom w:val="none" w:sz="0" w:space="0" w:color="auto"/>
                                        <w:right w:val="none" w:sz="0" w:space="0" w:color="auto"/>
                                      </w:divBdr>
                                      <w:divsChild>
                                        <w:div w:id="12603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79602">
      <w:bodyDiv w:val="1"/>
      <w:marLeft w:val="0"/>
      <w:marRight w:val="0"/>
      <w:marTop w:val="0"/>
      <w:marBottom w:val="0"/>
      <w:divBdr>
        <w:top w:val="none" w:sz="0" w:space="0" w:color="auto"/>
        <w:left w:val="none" w:sz="0" w:space="0" w:color="auto"/>
        <w:bottom w:val="none" w:sz="0" w:space="0" w:color="auto"/>
        <w:right w:val="none" w:sz="0" w:space="0" w:color="auto"/>
      </w:divBdr>
    </w:div>
    <w:div w:id="11239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rct=j&amp;q=&amp;esrc=s&amp;source=images&amp;cd=&amp;cad=rja&amp;uact=8&amp;ved=2ahUKEwjI_abf5_XhAhXSvp4KHbt6DcYQjRx6BAgBEAU&amp;url=https%3A%2F%2Ffreelegalconsultation.us%2Flegal-topics%2Flabor-law-violations%2Fcalifornia-department-of-industrial-relations%2F&amp;psig=AOvVaw1VQ9wY9MQSNmZ9AjISX6qJ&amp;ust=1556644693359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187d0ff35c946958afbc0d0adb88faa8">
  <xsd:schema xmlns:xsd="http://www.w3.org/2001/XMLSchema" xmlns:xs="http://www.w3.org/2001/XMLSchema" xmlns:p="http://schemas.microsoft.com/office/2006/metadata/properties" xmlns:ns3="0d47a867-ae85-4f49-9693-a9c2c55e8dca" targetNamespace="http://schemas.microsoft.com/office/2006/metadata/properties" ma:root="true" ma:fieldsID="5c261739e3b5f1370ab69b53a9b6cba6"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2B70-28B3-481E-A37E-A04B7A496B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d47a867-ae85-4f49-9693-a9c2c55e8dca"/>
    <ds:schemaRef ds:uri="http://www.w3.org/XML/1998/namespace"/>
    <ds:schemaRef ds:uri="http://purl.org/dc/dcmitype/"/>
  </ds:schemaRefs>
</ds:datastoreItem>
</file>

<file path=customXml/itemProps2.xml><?xml version="1.0" encoding="utf-8"?>
<ds:datastoreItem xmlns:ds="http://schemas.openxmlformats.org/officeDocument/2006/customXml" ds:itemID="{ED955E2B-FBE5-4F3E-ADB4-83C2158B2DCD}">
  <ds:schemaRefs>
    <ds:schemaRef ds:uri="http://schemas.microsoft.com/sharepoint/v3/contenttype/forms"/>
  </ds:schemaRefs>
</ds:datastoreItem>
</file>

<file path=customXml/itemProps3.xml><?xml version="1.0" encoding="utf-8"?>
<ds:datastoreItem xmlns:ds="http://schemas.openxmlformats.org/officeDocument/2006/customXml" ds:itemID="{F28DDC79-DFED-4481-B41F-4AC7EC348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B58F2C-2ED9-4360-B33F-CDD8C452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6500</Characters>
  <Application>Microsoft Office Word</Application>
  <DocSecurity>0</DocSecurity>
  <PresentationFormat>15|.DOCX</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Gailmarie@DIR</dc:creator>
  <cp:keywords/>
  <dc:description/>
  <cp:lastModifiedBy>Quant, Ricardo@DIR</cp:lastModifiedBy>
  <cp:revision>3</cp:revision>
  <cp:lastPrinted>2019-12-23T22:52:00Z</cp:lastPrinted>
  <dcterms:created xsi:type="dcterms:W3CDTF">2019-12-23T22:51:00Z</dcterms:created>
  <dcterms:modified xsi:type="dcterms:W3CDTF">2019-12-23T22:53:00Z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