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28" w:type="dxa"/>
        <w:tblBorders>
          <w:top w:val="double" w:sz="6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1668"/>
        <w:gridCol w:w="6660"/>
        <w:gridCol w:w="3000"/>
      </w:tblGrid>
      <w:tr w:rsidR="00545E92" w14:paraId="305BA918" w14:textId="77777777" w:rsidTr="007B1829">
        <w:trPr>
          <w:cantSplit/>
          <w:trHeight w:hRule="exact" w:val="960"/>
        </w:trPr>
        <w:tc>
          <w:tcPr>
            <w:tcW w:w="11328" w:type="dxa"/>
            <w:gridSpan w:val="3"/>
            <w:tcBorders>
              <w:top w:val="nil"/>
              <w:bottom w:val="double" w:sz="6" w:space="0" w:color="auto"/>
            </w:tcBorders>
            <w:noWrap/>
            <w:tcMar>
              <w:right w:w="48" w:type="dxa"/>
            </w:tcMar>
            <w:vAlign w:val="center"/>
          </w:tcPr>
          <w:p w14:paraId="328195C6" w14:textId="77777777" w:rsidR="00545E92" w:rsidRDefault="00545E92" w:rsidP="007B1829">
            <w:pPr>
              <w:pStyle w:val="Heading1"/>
            </w:pPr>
            <w:r>
              <w:t>duty statement</w:t>
            </w:r>
          </w:p>
        </w:tc>
      </w:tr>
      <w:tr w:rsidR="00545E92" w14:paraId="13F61FA3" w14:textId="77777777" w:rsidTr="007B1829">
        <w:trPr>
          <w:cantSplit/>
          <w:trHeight w:hRule="exact" w:val="516"/>
        </w:trPr>
        <w:tc>
          <w:tcPr>
            <w:tcW w:w="83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right w:w="48" w:type="dxa"/>
            </w:tcMar>
            <w:vAlign w:val="center"/>
          </w:tcPr>
          <w:p w14:paraId="4772C13B" w14:textId="77777777" w:rsidR="00545E92" w:rsidRDefault="00545E92" w:rsidP="007B1829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Class Title</w:t>
            </w:r>
          </w:p>
          <w:p w14:paraId="186BC12A" w14:textId="77777777" w:rsidR="00545E92" w:rsidRDefault="00DB1978" w:rsidP="007B1829">
            <w:pPr>
              <w:pStyle w:val="Fill-in"/>
            </w:pPr>
            <w:r>
              <w:t>Research Data Specialist II</w:t>
            </w:r>
          </w:p>
        </w:tc>
        <w:tc>
          <w:tcPr>
            <w:tcW w:w="30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E1BBB" w14:textId="77777777" w:rsidR="00545E92" w:rsidRDefault="00545E92" w:rsidP="007B1829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Position Number</w:t>
            </w:r>
          </w:p>
          <w:p w14:paraId="7BDACCF7" w14:textId="77777777" w:rsidR="00545E92" w:rsidRPr="00A465EF" w:rsidRDefault="00DB1978" w:rsidP="007B1829">
            <w:pPr>
              <w:pStyle w:val="Fill-in"/>
            </w:pPr>
            <w:r>
              <w:t>803-396-5758-xxx</w:t>
            </w:r>
          </w:p>
        </w:tc>
      </w:tr>
      <w:tr w:rsidR="00545E92" w14:paraId="6027B4E1" w14:textId="77777777" w:rsidTr="007B1829">
        <w:trPr>
          <w:cantSplit/>
          <w:trHeight w:hRule="exact" w:val="516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</w:tcPr>
          <w:p w14:paraId="64286616" w14:textId="77777777" w:rsidR="00545E92" w:rsidRDefault="00545E92" w:rsidP="007B1829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COI Classification</w:t>
            </w:r>
          </w:p>
          <w:p w14:paraId="7CE14AD5" w14:textId="77777777" w:rsidR="00545E92" w:rsidRDefault="00545E92" w:rsidP="007B1829">
            <w:pPr>
              <w:pStyle w:val="Fill-in"/>
              <w:rPr>
                <w:b/>
                <w:bCs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A01C05">
              <w:fldChar w:fldCharType="separate"/>
            </w:r>
            <w:r>
              <w:fldChar w:fldCharType="end"/>
            </w:r>
            <w:bookmarkEnd w:id="0"/>
            <w:r>
              <w:t xml:space="preserve"> Yes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0BC58" w14:textId="77777777" w:rsidR="00545E92" w:rsidRDefault="00545E92" w:rsidP="007B1829">
            <w:pPr>
              <w:pStyle w:val="Subhead"/>
            </w:pPr>
          </w:p>
          <w:p w14:paraId="39467C9F" w14:textId="77777777" w:rsidR="00545E92" w:rsidRDefault="00DB1978" w:rsidP="007B1829">
            <w:pPr>
              <w:pStyle w:val="Fill-in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A01C05">
              <w:fldChar w:fldCharType="separate"/>
            </w:r>
            <w:r>
              <w:fldChar w:fldCharType="end"/>
            </w:r>
            <w:bookmarkEnd w:id="1"/>
            <w:r w:rsidR="00545E92">
              <w:t xml:space="preserve"> No</w:t>
            </w:r>
          </w:p>
        </w:tc>
      </w:tr>
      <w:tr w:rsidR="00545E92" w14:paraId="221A6EFC" w14:textId="77777777" w:rsidTr="007B1829">
        <w:trPr>
          <w:cantSplit/>
          <w:trHeight w:hRule="exact" w:val="516"/>
        </w:trPr>
        <w:tc>
          <w:tcPr>
            <w:tcW w:w="1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  <w:vAlign w:val="center"/>
          </w:tcPr>
          <w:p w14:paraId="6E5302C3" w14:textId="77777777" w:rsidR="00545E92" w:rsidRDefault="00545E92" w:rsidP="007B1829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Unit</w:t>
            </w:r>
          </w:p>
          <w:p w14:paraId="019DE9AE" w14:textId="77777777" w:rsidR="00545E92" w:rsidRDefault="00545E92" w:rsidP="007B1829">
            <w:pPr>
              <w:pStyle w:val="Fill-in"/>
            </w:pPr>
          </w:p>
        </w:tc>
      </w:tr>
      <w:tr w:rsidR="00545E92" w14:paraId="39B9DB39" w14:textId="77777777" w:rsidTr="007B1829">
        <w:trPr>
          <w:cantSplit/>
          <w:trHeight w:hRule="exact" w:val="516"/>
        </w:trPr>
        <w:tc>
          <w:tcPr>
            <w:tcW w:w="1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  <w:vAlign w:val="center"/>
          </w:tcPr>
          <w:p w14:paraId="6B208AEB" w14:textId="77777777" w:rsidR="00545E92" w:rsidRDefault="00545E92" w:rsidP="007B1829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Section</w:t>
            </w:r>
          </w:p>
          <w:p w14:paraId="5A7E48C0" w14:textId="54984930" w:rsidR="00545E92" w:rsidRPr="00E64D86" w:rsidRDefault="00BC2C96" w:rsidP="007B1829">
            <w:pPr>
              <w:pStyle w:val="Fill-in"/>
            </w:pPr>
            <w:r>
              <w:t>Health Equity Analytics and Reporting Section (HEARS)</w:t>
            </w:r>
          </w:p>
        </w:tc>
      </w:tr>
      <w:tr w:rsidR="00545E92" w14:paraId="104B2EAD" w14:textId="77777777" w:rsidTr="007B1829">
        <w:trPr>
          <w:cantSplit/>
          <w:trHeight w:hRule="exact" w:val="516"/>
        </w:trPr>
        <w:tc>
          <w:tcPr>
            <w:tcW w:w="1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  <w:vAlign w:val="center"/>
          </w:tcPr>
          <w:p w14:paraId="2A1BDBA5" w14:textId="77777777" w:rsidR="00545E92" w:rsidRDefault="008D038B" w:rsidP="007B1829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Branch</w:t>
            </w:r>
          </w:p>
          <w:p w14:paraId="09C61CCA" w14:textId="5D08505A" w:rsidR="00545E92" w:rsidRPr="00E64D86" w:rsidRDefault="008F48F4" w:rsidP="007B1829">
            <w:pPr>
              <w:pStyle w:val="Fill-in"/>
            </w:pPr>
            <w:r>
              <w:t>Data Analytics (DAB)</w:t>
            </w:r>
          </w:p>
        </w:tc>
      </w:tr>
      <w:tr w:rsidR="008D038B" w14:paraId="3DD1DE76" w14:textId="77777777" w:rsidTr="007B1829">
        <w:trPr>
          <w:cantSplit/>
          <w:trHeight w:hRule="exact" w:val="516"/>
        </w:trPr>
        <w:tc>
          <w:tcPr>
            <w:tcW w:w="1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right w:w="48" w:type="dxa"/>
            </w:tcMar>
            <w:vAlign w:val="center"/>
          </w:tcPr>
          <w:p w14:paraId="2F4A6CA7" w14:textId="77777777" w:rsidR="008D038B" w:rsidRDefault="008D038B" w:rsidP="008D038B">
            <w:pPr>
              <w:pStyle w:val="Fill-in--Centered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Division</w:t>
            </w:r>
          </w:p>
          <w:p w14:paraId="55371949" w14:textId="5BA8F860" w:rsidR="008D038B" w:rsidRPr="000A746E" w:rsidRDefault="00DB1978" w:rsidP="008D038B">
            <w:pPr>
              <w:pStyle w:val="Fill-in--Centered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Enterprise Data and Information Management (EDIM) </w:t>
            </w:r>
            <w:r w:rsidR="00EB0159">
              <w:rPr>
                <w:b w:val="0"/>
                <w:bCs w:val="0"/>
              </w:rPr>
              <w:t>Data Reporting and Analytics (DRAD)</w:t>
            </w:r>
          </w:p>
        </w:tc>
      </w:tr>
      <w:tr w:rsidR="00545E92" w14:paraId="17DAE16C" w14:textId="77777777" w:rsidTr="00F72ADC">
        <w:trPr>
          <w:cantSplit/>
          <w:trHeight w:hRule="exact" w:val="1680"/>
        </w:trPr>
        <w:tc>
          <w:tcPr>
            <w:tcW w:w="11328" w:type="dxa"/>
            <w:gridSpan w:val="3"/>
            <w:tcBorders>
              <w:top w:val="single" w:sz="4" w:space="0" w:color="auto"/>
              <w:bottom w:val="nil"/>
            </w:tcBorders>
            <w:noWrap/>
            <w:tcMar>
              <w:right w:w="48" w:type="dxa"/>
            </w:tcMar>
            <w:vAlign w:val="center"/>
          </w:tcPr>
          <w:p w14:paraId="37501FA5" w14:textId="77777777" w:rsidR="00545E92" w:rsidRPr="00F72ADC" w:rsidRDefault="00545E92" w:rsidP="00F72ADC">
            <w:pPr>
              <w:pStyle w:val="Fill-in"/>
              <w:rPr>
                <w:rFonts w:cs="Times New Roman"/>
                <w:iCs w:val="0"/>
                <w:szCs w:val="24"/>
              </w:rPr>
            </w:pPr>
            <w:r w:rsidRPr="00F72ADC">
              <w:rPr>
                <w:rFonts w:cs="Times New Roman"/>
                <w:iCs w:val="0"/>
                <w:szCs w:val="24"/>
              </w:rPr>
              <w:t>This position requires the incumbent maintain consistent and regular attendance; communicate effectively (orally and in writing if both appropriate) in dealing with the public and/or other employees; develop and maintain knowledge and skill related to specific tasks, methodologies, materials, tools, and equipment; complete assignments in a timely and efficient manner; and, adhere to departmental policies and procedures regarding attendance, leave, and conduct.</w:t>
            </w:r>
          </w:p>
        </w:tc>
      </w:tr>
      <w:tr w:rsidR="00545E92" w14:paraId="155E889F" w14:textId="77777777" w:rsidTr="007B1829">
        <w:trPr>
          <w:cantSplit/>
          <w:trHeight w:val="480"/>
        </w:trPr>
        <w:tc>
          <w:tcPr>
            <w:tcW w:w="11328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3E7E16A8" w14:textId="3D26665D" w:rsidR="006F3AFF" w:rsidRDefault="00545E92" w:rsidP="006F3AFF">
            <w:pPr>
              <w:autoSpaceDE w:val="0"/>
              <w:autoSpaceDN w:val="0"/>
              <w:adjustRightInd w:val="0"/>
            </w:pPr>
            <w:r w:rsidRPr="005F1519">
              <w:rPr>
                <w:rFonts w:cs="Arial"/>
                <w:b/>
                <w:bCs/>
                <w:iCs/>
                <w:szCs w:val="28"/>
              </w:rPr>
              <w:t>Job Summary:</w:t>
            </w:r>
            <w:r>
              <w:t xml:space="preserve"> </w:t>
            </w:r>
            <w:r w:rsidR="00EB0159" w:rsidRPr="00230FB0">
              <w:rPr>
                <w:rFonts w:cs="Arial"/>
              </w:rPr>
              <w:t>As part</w:t>
            </w:r>
            <w:r w:rsidR="00A01C05">
              <w:rPr>
                <w:rFonts w:cs="Arial"/>
              </w:rPr>
              <w:t xml:space="preserve"> of EDIM</w:t>
            </w:r>
            <w:bookmarkStart w:id="2" w:name="_GoBack"/>
            <w:bookmarkEnd w:id="2"/>
            <w:r w:rsidR="00EB0159" w:rsidRPr="00230FB0">
              <w:rPr>
                <w:rFonts w:cs="Arial"/>
              </w:rPr>
              <w:t>,</w:t>
            </w:r>
            <w:r w:rsidR="00EB0159">
              <w:rPr>
                <w:rFonts w:cs="Arial"/>
              </w:rPr>
              <w:t xml:space="preserve"> </w:t>
            </w:r>
            <w:r w:rsidR="00E95658">
              <w:rPr>
                <w:szCs w:val="22"/>
              </w:rPr>
              <w:t>t</w:t>
            </w:r>
            <w:r w:rsidR="00AD49F7">
              <w:rPr>
                <w:szCs w:val="22"/>
              </w:rPr>
              <w:t xml:space="preserve">he </w:t>
            </w:r>
            <w:r w:rsidR="00AD49F7" w:rsidRPr="00994B34">
              <w:rPr>
                <w:szCs w:val="22"/>
              </w:rPr>
              <w:t xml:space="preserve">Research </w:t>
            </w:r>
            <w:r w:rsidR="008C53D9">
              <w:rPr>
                <w:szCs w:val="22"/>
              </w:rPr>
              <w:t>Data Specialist II (RD</w:t>
            </w:r>
            <w:r w:rsidR="00FB0C40">
              <w:rPr>
                <w:szCs w:val="22"/>
              </w:rPr>
              <w:t xml:space="preserve">S II) </w:t>
            </w:r>
            <w:r w:rsidR="008C53D9" w:rsidRPr="008C53D9">
              <w:rPr>
                <w:szCs w:val="22"/>
              </w:rPr>
              <w:t>will</w:t>
            </w:r>
            <w:r w:rsidR="00664F51">
              <w:t xml:space="preserve"> support</w:t>
            </w:r>
            <w:r w:rsidR="00664F51" w:rsidRPr="00750843">
              <w:t xml:space="preserve"> the</w:t>
            </w:r>
            <w:r w:rsidR="00664F51" w:rsidRPr="00C276CF">
              <w:t xml:space="preserve"> analysis and interpretation of eligibility, demographics, utilization, and expenditure</w:t>
            </w:r>
            <w:r w:rsidR="00EB0159">
              <w:t xml:space="preserve"> data</w:t>
            </w:r>
            <w:r w:rsidR="00664F51" w:rsidRPr="00C276CF">
              <w:t xml:space="preserve"> for D</w:t>
            </w:r>
            <w:r w:rsidR="006F3AFF">
              <w:t>epartment of Health Care Services (DHCS)</w:t>
            </w:r>
            <w:r w:rsidR="00664F51" w:rsidRPr="00C276CF">
              <w:t xml:space="preserve"> programs in the context of equity, including</w:t>
            </w:r>
            <w:r w:rsidR="00664F51" w:rsidRPr="00750843">
              <w:t xml:space="preserve"> the </w:t>
            </w:r>
            <w:r w:rsidR="00BC2C96">
              <w:t>impact</w:t>
            </w:r>
            <w:r w:rsidR="00BC2C96" w:rsidRPr="00750843">
              <w:t xml:space="preserve"> </w:t>
            </w:r>
            <w:r w:rsidR="00664F51" w:rsidRPr="00750843">
              <w:t xml:space="preserve">of the COVID-19 pandemic </w:t>
            </w:r>
            <w:r w:rsidR="00BC2C96">
              <w:t xml:space="preserve">on </w:t>
            </w:r>
            <w:r w:rsidR="00664F51" w:rsidRPr="00750843">
              <w:t>health disparities</w:t>
            </w:r>
            <w:r w:rsidR="00EB0159">
              <w:t xml:space="preserve">, </w:t>
            </w:r>
            <w:r w:rsidR="00664F51" w:rsidRPr="00750843">
              <w:t xml:space="preserve">and </w:t>
            </w:r>
            <w:r w:rsidR="00664F51">
              <w:t>inform</w:t>
            </w:r>
            <w:r w:rsidR="00DC04DE">
              <w:t>ing</w:t>
            </w:r>
            <w:r w:rsidR="00664F51">
              <w:t xml:space="preserve"> efforts to achieve health equity</w:t>
            </w:r>
            <w:r w:rsidR="00664F51" w:rsidRPr="00750843">
              <w:t>.</w:t>
            </w:r>
            <w:r w:rsidR="00664F51">
              <w:t xml:space="preserve">  </w:t>
            </w:r>
            <w:r w:rsidR="00EB0159">
              <w:rPr>
                <w:rFonts w:cs="Arial"/>
                <w:color w:val="000000"/>
                <w:shd w:val="clear" w:color="auto" w:fill="FFFFFF"/>
              </w:rPr>
              <w:t xml:space="preserve">Under general direction of the </w:t>
            </w:r>
            <w:r w:rsidR="00BC2C96">
              <w:rPr>
                <w:rFonts w:cs="Arial"/>
                <w:color w:val="000000"/>
                <w:shd w:val="clear" w:color="auto" w:fill="FFFFFF"/>
              </w:rPr>
              <w:t xml:space="preserve">HEARS </w:t>
            </w:r>
            <w:r w:rsidR="00EB0159">
              <w:t>Chief, t</w:t>
            </w:r>
            <w:r w:rsidR="00664F51">
              <w:t xml:space="preserve">he RDS II will </w:t>
            </w:r>
            <w:r w:rsidR="00F7218D">
              <w:rPr>
                <w:szCs w:val="22"/>
              </w:rPr>
              <w:t xml:space="preserve">lead and coordinate development of </w:t>
            </w:r>
            <w:r w:rsidR="008C53D9" w:rsidRPr="008C53D9">
              <w:t xml:space="preserve">data files, including compiling the data, preparing data for publication and public release, and sending the data to be used </w:t>
            </w:r>
            <w:r w:rsidR="00F7218D">
              <w:t>for the Health Equity Dashboard</w:t>
            </w:r>
            <w:r w:rsidR="008C53D9" w:rsidRPr="008C53D9">
              <w:t>.</w:t>
            </w:r>
            <w:r w:rsidR="00664F51">
              <w:t xml:space="preserve">  </w:t>
            </w:r>
            <w:r w:rsidR="008C53D9" w:rsidRPr="008C53D9">
              <w:t xml:space="preserve">Additionally, this position will support development and management of data sharing agreements with other departments to support </w:t>
            </w:r>
            <w:r w:rsidR="006F2E0E">
              <w:t>data</w:t>
            </w:r>
            <w:r w:rsidR="008C53D9" w:rsidRPr="008C53D9">
              <w:t xml:space="preserve"> analysis.</w:t>
            </w:r>
          </w:p>
          <w:p w14:paraId="7CB471EE" w14:textId="77777777" w:rsidR="006F3AFF" w:rsidRDefault="006F3AFF" w:rsidP="006F3AFF">
            <w:pPr>
              <w:autoSpaceDE w:val="0"/>
              <w:autoSpaceDN w:val="0"/>
              <w:adjustRightInd w:val="0"/>
            </w:pPr>
          </w:p>
          <w:p w14:paraId="2371AB62" w14:textId="3F0EE940" w:rsidR="006F3AFF" w:rsidRPr="00750843" w:rsidRDefault="006F3AFF" w:rsidP="006F3AFF">
            <w:pPr>
              <w:autoSpaceDE w:val="0"/>
              <w:autoSpaceDN w:val="0"/>
              <w:adjustRightInd w:val="0"/>
            </w:pPr>
            <w:r w:rsidRPr="00750843">
              <w:rPr>
                <w:iCs/>
              </w:rPr>
              <w:t xml:space="preserve">The incumbent must demonstrate strong analytic, statistical, data governance, organizational, and communication skills, as well as an expertise in data quality assessment/assurance processes, statistical analysis, and research methodologies </w:t>
            </w:r>
            <w:r>
              <w:rPr>
                <w:iCs/>
              </w:rPr>
              <w:t xml:space="preserve">in an applied research setting.  </w:t>
            </w:r>
            <w:r w:rsidRPr="00750843">
              <w:rPr>
                <w:iCs/>
              </w:rPr>
              <w:t xml:space="preserve">The incumbent must also have demonstrated experience using </w:t>
            </w:r>
            <w:r w:rsidRPr="00750843">
              <w:t>SAS, SQL/Microsoft Business Intelligence (BI), and ArcGIS, advanced Excel</w:t>
            </w:r>
            <w:r w:rsidRPr="00750843">
              <w:rPr>
                <w:iCs/>
              </w:rPr>
              <w:t xml:space="preserve"> and/or similar software.  Experience with Medi-Cal</w:t>
            </w:r>
            <w:r w:rsidRPr="00750843">
              <w:t xml:space="preserve"> and the Management Information System/Decision Support System (MIS/DSS)</w:t>
            </w:r>
            <w:r w:rsidRPr="00750843">
              <w:rPr>
                <w:iCs/>
              </w:rPr>
              <w:t xml:space="preserve"> Data Warehouse are preferred.</w:t>
            </w:r>
          </w:p>
          <w:p w14:paraId="509F9687" w14:textId="77777777" w:rsidR="00856F7A" w:rsidRDefault="00856F7A">
            <w:pPr>
              <w:autoSpaceDE w:val="0"/>
              <w:autoSpaceDN w:val="0"/>
              <w:adjustRightInd w:val="0"/>
            </w:pPr>
          </w:p>
        </w:tc>
      </w:tr>
      <w:tr w:rsidR="00545E92" w14:paraId="6E2DDB82" w14:textId="77777777" w:rsidTr="007B1829">
        <w:trPr>
          <w:cantSplit/>
          <w:trHeight w:val="480"/>
        </w:trPr>
        <w:tc>
          <w:tcPr>
            <w:tcW w:w="11328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66ABF6F4" w14:textId="420FBCF9" w:rsidR="00545E92" w:rsidRPr="00B77D80" w:rsidRDefault="00545E92" w:rsidP="00B05A3C">
            <w:pPr>
              <w:pStyle w:val="Fill-in"/>
            </w:pPr>
            <w:r>
              <w:rPr>
                <w:b/>
                <w:bCs/>
              </w:rPr>
              <w:t xml:space="preserve">Supervision Received: </w:t>
            </w:r>
            <w:r w:rsidR="00DE6ED6">
              <w:rPr>
                <w:bCs/>
              </w:rPr>
              <w:t>Under the gene</w:t>
            </w:r>
            <w:r w:rsidR="008C7525">
              <w:rPr>
                <w:bCs/>
              </w:rPr>
              <w:t>ral direction of the Chief, HEARS</w:t>
            </w:r>
            <w:r w:rsidR="00DE6ED6">
              <w:rPr>
                <w:bCs/>
              </w:rPr>
              <w:t>, a Research Scientist Supervisor I.</w:t>
            </w:r>
          </w:p>
        </w:tc>
      </w:tr>
      <w:tr w:rsidR="00545E92" w14:paraId="08CAD195" w14:textId="77777777" w:rsidTr="007B1829">
        <w:trPr>
          <w:cantSplit/>
          <w:trHeight w:val="480"/>
        </w:trPr>
        <w:tc>
          <w:tcPr>
            <w:tcW w:w="11328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704B0781" w14:textId="77777777" w:rsidR="00545E92" w:rsidRDefault="00545E92" w:rsidP="007B1829">
            <w:pPr>
              <w:pStyle w:val="Fill-in"/>
            </w:pPr>
            <w:r>
              <w:rPr>
                <w:b/>
                <w:bCs/>
              </w:rPr>
              <w:t>Supervision Exercised:</w:t>
            </w:r>
            <w:r>
              <w:t xml:space="preserve"> </w:t>
            </w:r>
            <w:r w:rsidR="00DB1978">
              <w:t>None</w:t>
            </w:r>
          </w:p>
          <w:p w14:paraId="096BD4AE" w14:textId="77777777" w:rsidR="00545E92" w:rsidRDefault="00545E92" w:rsidP="007B1829">
            <w:pPr>
              <w:pStyle w:val="Fill-in"/>
            </w:pPr>
          </w:p>
        </w:tc>
      </w:tr>
      <w:tr w:rsidR="00545E92" w14:paraId="3F4FAF01" w14:textId="77777777" w:rsidTr="007B1829">
        <w:trPr>
          <w:cantSplit/>
          <w:trHeight w:val="297"/>
        </w:trPr>
        <w:tc>
          <w:tcPr>
            <w:tcW w:w="11328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67D707B6" w14:textId="77777777" w:rsidR="00545E92" w:rsidRDefault="00545E92" w:rsidP="008D038B">
            <w:r>
              <w:rPr>
                <w:b/>
                <w:bCs/>
              </w:rPr>
              <w:t>Description of Duties:</w:t>
            </w:r>
            <w:r>
              <w:t xml:space="preserve"> </w:t>
            </w:r>
            <w:r w:rsidR="000B57F5">
              <w:t>See below</w:t>
            </w:r>
          </w:p>
        </w:tc>
      </w:tr>
      <w:tr w:rsidR="00545E92" w14:paraId="753DFE54" w14:textId="77777777" w:rsidTr="007B1829">
        <w:trPr>
          <w:cantSplit/>
          <w:trHeight w:val="180"/>
        </w:trPr>
        <w:tc>
          <w:tcPr>
            <w:tcW w:w="11328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6EF983B1" w14:textId="77777777" w:rsidR="00545E92" w:rsidRDefault="00545E92" w:rsidP="007B1829">
            <w:pPr>
              <w:pStyle w:val="Fill-in"/>
              <w:rPr>
                <w:b/>
                <w:bCs/>
              </w:rPr>
            </w:pPr>
          </w:p>
        </w:tc>
      </w:tr>
      <w:tr w:rsidR="00545E92" w14:paraId="04891719" w14:textId="77777777" w:rsidTr="0026640E">
        <w:trPr>
          <w:trHeight w:val="3483"/>
        </w:trPr>
        <w:tc>
          <w:tcPr>
            <w:tcW w:w="11328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6652E568" w14:textId="77777777" w:rsidR="00545E92" w:rsidRDefault="00545E92" w:rsidP="007B1829">
            <w:pPr>
              <w:pStyle w:val="Fill-in"/>
              <w:tabs>
                <w:tab w:val="left" w:pos="1980"/>
              </w:tabs>
              <w:jc w:val="left"/>
              <w:rPr>
                <w:b/>
                <w:bCs/>
              </w:rPr>
            </w:pPr>
            <w:r w:rsidRPr="00267B36">
              <w:rPr>
                <w:b/>
                <w:bCs/>
              </w:rPr>
              <w:t>Percent of Time</w:t>
            </w:r>
            <w:r w:rsidRPr="00267B36">
              <w:rPr>
                <w:b/>
                <w:bCs/>
              </w:rPr>
              <w:tab/>
              <w:t>Essential Functions</w:t>
            </w:r>
          </w:p>
          <w:p w14:paraId="1537C197" w14:textId="77777777" w:rsidR="00545E92" w:rsidRPr="00267B36" w:rsidRDefault="00545E92" w:rsidP="007B1829">
            <w:pPr>
              <w:pStyle w:val="Fill-in"/>
              <w:tabs>
                <w:tab w:val="left" w:pos="1980"/>
              </w:tabs>
              <w:jc w:val="left"/>
              <w:rPr>
                <w:b/>
                <w:bCs/>
              </w:rPr>
            </w:pPr>
          </w:p>
          <w:p w14:paraId="170A8C88" w14:textId="640CFA7D" w:rsidR="00545E92" w:rsidRPr="006F2E0E" w:rsidRDefault="000B57F5" w:rsidP="000B57F5">
            <w:pPr>
              <w:ind w:left="1980" w:hanging="1440"/>
              <w:rPr>
                <w:rFonts w:cs="Arial"/>
                <w:color w:val="000000" w:themeColor="text1"/>
                <w:szCs w:val="22"/>
              </w:rPr>
            </w:pPr>
            <w:r>
              <w:t>40</w:t>
            </w:r>
            <w:r w:rsidR="00545E92" w:rsidRPr="00267B36">
              <w:t>%</w:t>
            </w:r>
            <w:r w:rsidR="00545E92" w:rsidRPr="00267B36">
              <w:tab/>
            </w:r>
            <w:r w:rsidR="004008F5">
              <w:t>Using data stored in the DHCS MIS/DSS and other data sources and using SAS, GIS mapping tools and other business intelligence tools, assist in the development of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 xml:space="preserve"> data files, including compiling the data, preparing data for publication and public release, and </w:t>
            </w:r>
            <w:r w:rsidR="004008F5">
              <w:rPr>
                <w:rFonts w:cs="Arial"/>
                <w:color w:val="000000" w:themeColor="text1"/>
                <w:szCs w:val="22"/>
              </w:rPr>
              <w:t>transmitt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 xml:space="preserve">ing the data used in the </w:t>
            </w:r>
            <w:r w:rsidR="006F2E0E">
              <w:rPr>
                <w:rFonts w:cs="Arial"/>
                <w:color w:val="000000" w:themeColor="text1"/>
                <w:szCs w:val="22"/>
              </w:rPr>
              <w:t>Health E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 xml:space="preserve">quity </w:t>
            </w:r>
            <w:r w:rsidR="006F2E0E">
              <w:rPr>
                <w:rFonts w:cs="Arial"/>
                <w:color w:val="000000" w:themeColor="text1"/>
                <w:szCs w:val="22"/>
              </w:rPr>
              <w:t>D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>ashboard.</w:t>
            </w:r>
            <w:r w:rsidR="00B46596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B46596">
              <w:t xml:space="preserve">Assess </w:t>
            </w:r>
            <w:r w:rsidR="00BC2C96">
              <w:t xml:space="preserve">internal and </w:t>
            </w:r>
            <w:r w:rsidR="00B46596">
              <w:t xml:space="preserve">external data sources available to support metrics identified for the Health Equity Dashboard.  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 xml:space="preserve">Lead design, development, and fulfillment for data requests to confirm </w:t>
            </w:r>
            <w:r w:rsidR="00B46596">
              <w:rPr>
                <w:rFonts w:cs="Arial"/>
                <w:color w:val="000000" w:themeColor="text1"/>
                <w:szCs w:val="22"/>
              </w:rPr>
              <w:t xml:space="preserve">a standard approach is used to pull data and that 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>minimum data needed is released.</w:t>
            </w:r>
            <w:r w:rsidR="00B46596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4008F5">
              <w:rPr>
                <w:rFonts w:cs="Arial"/>
                <w:color w:val="000000" w:themeColor="text1"/>
                <w:szCs w:val="22"/>
              </w:rPr>
              <w:t>Document and assure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 xml:space="preserve"> quality</w:t>
            </w:r>
            <w:r w:rsidR="004008F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>of data released.</w:t>
            </w:r>
            <w:r w:rsidR="00545E92" w:rsidRPr="006F2E0E">
              <w:rPr>
                <w:rFonts w:cs="Arial"/>
              </w:rPr>
              <w:t xml:space="preserve">  </w:t>
            </w:r>
          </w:p>
          <w:p w14:paraId="0ABE0C9C" w14:textId="77777777" w:rsidR="00545E92" w:rsidRPr="00267B36" w:rsidRDefault="00545E92" w:rsidP="007B1829">
            <w:pPr>
              <w:pStyle w:val="BodyTextIndent2"/>
              <w:jc w:val="left"/>
            </w:pPr>
          </w:p>
          <w:p w14:paraId="37F66FEC" w14:textId="7AA23200" w:rsidR="00C97A4E" w:rsidRPr="006F2E0E" w:rsidRDefault="000B57F5" w:rsidP="000B57F5">
            <w:pPr>
              <w:ind w:left="1980" w:hanging="1440"/>
              <w:rPr>
                <w:rFonts w:cs="Arial"/>
                <w:color w:val="000000" w:themeColor="text1"/>
                <w:szCs w:val="22"/>
              </w:rPr>
            </w:pPr>
            <w:r>
              <w:t>2</w:t>
            </w:r>
            <w:r w:rsidR="00734BBC">
              <w:t>5</w:t>
            </w:r>
            <w:r w:rsidR="00545E92" w:rsidRPr="00267B36">
              <w:t>%</w:t>
            </w:r>
            <w:r w:rsidR="00545E92" w:rsidRPr="00267B36">
              <w:tab/>
            </w:r>
            <w:r w:rsidR="00B46596">
              <w:t xml:space="preserve">Work </w:t>
            </w:r>
            <w:r w:rsidR="00B46596">
              <w:rPr>
                <w:rFonts w:cs="Arial"/>
                <w:color w:val="000000" w:themeColor="text1"/>
                <w:szCs w:val="22"/>
              </w:rPr>
              <w:t xml:space="preserve">with staff in EDIM and DHCS to develop </w:t>
            </w:r>
            <w:r w:rsidR="00B46596" w:rsidRPr="006F2E0E">
              <w:rPr>
                <w:rFonts w:cs="Arial"/>
                <w:color w:val="000000" w:themeColor="text1"/>
                <w:szCs w:val="22"/>
              </w:rPr>
              <w:t>data visualizations and integration for data released to the CHHS Open Data Portal and CHHS GeoHub.</w:t>
            </w:r>
            <w:r w:rsidR="00B46596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B46596" w:rsidRPr="006A2171">
              <w:rPr>
                <w:rFonts w:cs="Arial"/>
                <w:color w:val="000000" w:themeColor="text1"/>
                <w:szCs w:val="22"/>
              </w:rPr>
              <w:t xml:space="preserve">Maintain web-based applications associated with the platforms for DHCS data sets.  </w:t>
            </w:r>
            <w:r w:rsidR="00B46596" w:rsidRPr="006F2E0E">
              <w:rPr>
                <w:rFonts w:cs="Arial"/>
                <w:color w:val="000000" w:themeColor="text1"/>
                <w:szCs w:val="22"/>
              </w:rPr>
              <w:t xml:space="preserve">Work with MIS/DSS teams and </w:t>
            </w:r>
            <w:r w:rsidR="00B46596">
              <w:rPr>
                <w:rFonts w:cs="Arial"/>
                <w:color w:val="000000" w:themeColor="text1"/>
                <w:szCs w:val="22"/>
              </w:rPr>
              <w:t xml:space="preserve">teams for </w:t>
            </w:r>
            <w:r w:rsidR="00B46596" w:rsidRPr="006F2E0E">
              <w:rPr>
                <w:rFonts w:cs="Arial"/>
                <w:color w:val="000000" w:themeColor="text1"/>
                <w:szCs w:val="22"/>
              </w:rPr>
              <w:lastRenderedPageBreak/>
              <w:t xml:space="preserve">other </w:t>
            </w:r>
            <w:r w:rsidR="00B46596">
              <w:rPr>
                <w:rFonts w:cs="Arial"/>
                <w:color w:val="000000" w:themeColor="text1"/>
                <w:szCs w:val="22"/>
              </w:rPr>
              <w:t xml:space="preserve">internal DHCS </w:t>
            </w:r>
            <w:r w:rsidR="00B46596" w:rsidRPr="006F2E0E">
              <w:rPr>
                <w:rFonts w:cs="Arial"/>
                <w:color w:val="000000" w:themeColor="text1"/>
                <w:szCs w:val="22"/>
              </w:rPr>
              <w:t>data system to address data quality and coding issues identified as part of data projects.</w:t>
            </w:r>
          </w:p>
          <w:p w14:paraId="043093DE" w14:textId="77777777" w:rsidR="00C97A4E" w:rsidRPr="006F2E0E" w:rsidRDefault="00C97A4E" w:rsidP="006F2E0E">
            <w:pPr>
              <w:ind w:left="1980" w:hanging="1440"/>
              <w:rPr>
                <w:rFonts w:cs="Arial"/>
                <w:color w:val="000000" w:themeColor="text1"/>
                <w:szCs w:val="22"/>
              </w:rPr>
            </w:pPr>
          </w:p>
          <w:p w14:paraId="56A56B09" w14:textId="38CB8B89" w:rsidR="00C97A4E" w:rsidRPr="006F2E0E" w:rsidRDefault="00734BBC" w:rsidP="006F2E0E">
            <w:pPr>
              <w:ind w:left="1980" w:hanging="1440"/>
              <w:rPr>
                <w:rFonts w:cs="Arial"/>
                <w:color w:val="000000" w:themeColor="text1"/>
                <w:szCs w:val="22"/>
              </w:rPr>
            </w:pPr>
            <w:r w:rsidRPr="006F2E0E">
              <w:rPr>
                <w:rFonts w:cs="Arial"/>
                <w:color w:val="000000" w:themeColor="text1"/>
                <w:szCs w:val="22"/>
              </w:rPr>
              <w:t>15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>%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ab/>
            </w:r>
            <w:r w:rsidR="00B46596">
              <w:t xml:space="preserve">Assist in the </w:t>
            </w:r>
            <w:r w:rsidR="00B46596" w:rsidRPr="006F2E0E">
              <w:rPr>
                <w:rFonts w:cs="Arial"/>
                <w:color w:val="000000" w:themeColor="text1"/>
                <w:szCs w:val="22"/>
              </w:rPr>
              <w:t>development and management of data sharing agreements</w:t>
            </w:r>
            <w:r w:rsidR="00B46596">
              <w:rPr>
                <w:rFonts w:cs="Arial"/>
                <w:color w:val="000000" w:themeColor="text1"/>
                <w:szCs w:val="22"/>
              </w:rPr>
              <w:t xml:space="preserve"> as well as in the data linkage and preparation of data from</w:t>
            </w:r>
            <w:r w:rsidR="00B46596" w:rsidRPr="006F2E0E">
              <w:rPr>
                <w:rFonts w:cs="Arial"/>
                <w:color w:val="000000" w:themeColor="text1"/>
                <w:szCs w:val="22"/>
              </w:rPr>
              <w:t xml:space="preserve"> with other departments</w:t>
            </w:r>
            <w:r w:rsidR="00B4659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B46596" w:rsidRPr="006F2E0E">
              <w:rPr>
                <w:rFonts w:cs="Arial"/>
                <w:color w:val="000000" w:themeColor="text1"/>
                <w:szCs w:val="22"/>
              </w:rPr>
              <w:t xml:space="preserve">to support </w:t>
            </w:r>
            <w:r w:rsidR="00B46596">
              <w:rPr>
                <w:rFonts w:cs="Arial"/>
                <w:color w:val="000000" w:themeColor="text1"/>
                <w:szCs w:val="22"/>
              </w:rPr>
              <w:t>analyses</w:t>
            </w:r>
            <w:r w:rsidR="00B46596" w:rsidRPr="006F2E0E">
              <w:rPr>
                <w:rFonts w:cs="Arial"/>
                <w:color w:val="000000" w:themeColor="text1"/>
                <w:szCs w:val="22"/>
              </w:rPr>
              <w:t xml:space="preserve">. Provide data quality assurance and paperwork associated with fulfilling Health Equity data requests. </w:t>
            </w:r>
          </w:p>
          <w:p w14:paraId="23082BBC" w14:textId="77777777" w:rsidR="00C97A4E" w:rsidRPr="006F2E0E" w:rsidRDefault="00C97A4E" w:rsidP="006F2E0E">
            <w:pPr>
              <w:ind w:left="1980" w:hanging="1440"/>
              <w:rPr>
                <w:rFonts w:cs="Arial"/>
                <w:color w:val="000000" w:themeColor="text1"/>
                <w:szCs w:val="22"/>
              </w:rPr>
            </w:pPr>
          </w:p>
          <w:p w14:paraId="0B82A19E" w14:textId="7AD4EC77" w:rsidR="00C97A4E" w:rsidRPr="006F2E0E" w:rsidRDefault="00734BBC" w:rsidP="006F2E0E">
            <w:pPr>
              <w:ind w:left="1980" w:hanging="1440"/>
              <w:rPr>
                <w:rFonts w:cs="Arial"/>
                <w:color w:val="000000" w:themeColor="text1"/>
                <w:szCs w:val="22"/>
              </w:rPr>
            </w:pPr>
            <w:r w:rsidRPr="006F2E0E">
              <w:rPr>
                <w:rFonts w:cs="Arial"/>
                <w:color w:val="000000" w:themeColor="text1"/>
                <w:szCs w:val="22"/>
              </w:rPr>
              <w:t>15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>%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ab/>
              <w:t>Serve as team member on healthcare projects</w:t>
            </w:r>
            <w:r w:rsidR="00F53127">
              <w:rPr>
                <w:rFonts w:cs="Arial"/>
                <w:color w:val="000000" w:themeColor="text1"/>
                <w:szCs w:val="22"/>
              </w:rPr>
              <w:t>. P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>rovide expert consultative services on the feasibility, impact, or potential of a variety of state projects or proposals to interested parties</w:t>
            </w:r>
            <w:r w:rsidR="00F53127">
              <w:rPr>
                <w:rFonts w:cs="Arial"/>
                <w:color w:val="000000" w:themeColor="text1"/>
                <w:szCs w:val="22"/>
              </w:rPr>
              <w:t>.</w:t>
            </w:r>
            <w:r w:rsidR="00664F51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F53127">
              <w:rPr>
                <w:rFonts w:cs="Arial"/>
                <w:color w:val="000000" w:themeColor="text1"/>
                <w:szCs w:val="22"/>
              </w:rPr>
              <w:t>A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>dvise management, departmental staff, legislative bodies, governmental entities, and agencies on findings related to assigned area of research.</w:t>
            </w:r>
            <w:r w:rsidR="00664F51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C97A4E" w:rsidRPr="006F2E0E">
              <w:rPr>
                <w:rFonts w:cs="Arial"/>
                <w:color w:val="000000" w:themeColor="text1"/>
                <w:szCs w:val="22"/>
              </w:rPr>
              <w:t>Conduct research and prepare ad hoc reports on DHCS program-related issues identified by management in the DHCS Strategic Plan and the DHCS Quality Strategy.</w:t>
            </w:r>
          </w:p>
          <w:p w14:paraId="2D7EE777" w14:textId="77777777" w:rsidR="000B57F5" w:rsidRPr="006F2E0E" w:rsidRDefault="000B57F5" w:rsidP="006F2E0E">
            <w:pPr>
              <w:ind w:left="1980" w:hanging="1440"/>
              <w:rPr>
                <w:rFonts w:cs="Arial"/>
                <w:color w:val="000000" w:themeColor="text1"/>
                <w:szCs w:val="22"/>
              </w:rPr>
            </w:pPr>
          </w:p>
          <w:p w14:paraId="78829B7D" w14:textId="77777777" w:rsidR="000B57F5" w:rsidRPr="0081737F" w:rsidRDefault="000B57F5" w:rsidP="000B57F5">
            <w:pPr>
              <w:pStyle w:val="Fill-in"/>
              <w:tabs>
                <w:tab w:val="left" w:pos="1980"/>
              </w:tabs>
              <w:jc w:val="left"/>
              <w:rPr>
                <w:b/>
                <w:bCs/>
              </w:rPr>
            </w:pPr>
            <w:r w:rsidRPr="00267B36">
              <w:rPr>
                <w:b/>
                <w:bCs/>
              </w:rPr>
              <w:t>Percent of Time</w:t>
            </w:r>
            <w:r w:rsidRPr="00267B36">
              <w:rPr>
                <w:b/>
                <w:bCs/>
              </w:rPr>
              <w:tab/>
            </w:r>
            <w:r>
              <w:rPr>
                <w:b/>
                <w:bCs/>
              </w:rPr>
              <w:t>Marginal</w:t>
            </w:r>
            <w:r w:rsidRPr="00267B36">
              <w:rPr>
                <w:b/>
                <w:bCs/>
              </w:rPr>
              <w:t xml:space="preserve"> Functions</w:t>
            </w:r>
          </w:p>
          <w:p w14:paraId="459413C1" w14:textId="77777777" w:rsidR="00C97A4E" w:rsidRDefault="00C97A4E" w:rsidP="007B1829">
            <w:pPr>
              <w:ind w:left="1980" w:hanging="1440"/>
              <w:jc w:val="left"/>
            </w:pPr>
          </w:p>
          <w:p w14:paraId="4C9B21AD" w14:textId="77777777" w:rsidR="00545E92" w:rsidRPr="00267B36" w:rsidRDefault="008D038B" w:rsidP="007B1829">
            <w:pPr>
              <w:ind w:left="1980" w:hanging="1440"/>
              <w:jc w:val="left"/>
            </w:pPr>
            <w:r>
              <w:t>5</w:t>
            </w:r>
            <w:r w:rsidR="00545E92" w:rsidRPr="00267B36">
              <w:t>%</w:t>
            </w:r>
            <w:r w:rsidR="00545E92" w:rsidRPr="00267B36">
              <w:tab/>
            </w:r>
            <w:r w:rsidR="00640E78">
              <w:t>Perform</w:t>
            </w:r>
            <w:r w:rsidR="00545E92" w:rsidRPr="004329F2">
              <w:t xml:space="preserve"> other related duties </w:t>
            </w:r>
            <w:r w:rsidR="00640E78">
              <w:t>within the scope of the</w:t>
            </w:r>
            <w:r w:rsidR="00545E92" w:rsidRPr="004329F2">
              <w:t xml:space="preserve"> classification, as required</w:t>
            </w:r>
            <w:r w:rsidR="00545E92">
              <w:t>.</w:t>
            </w:r>
          </w:p>
          <w:p w14:paraId="7667BB4B" w14:textId="77777777" w:rsidR="00545E92" w:rsidRPr="00267B36" w:rsidRDefault="00545E92" w:rsidP="0026640E">
            <w:pPr>
              <w:pStyle w:val="Fill-in"/>
              <w:tabs>
                <w:tab w:val="left" w:pos="1980"/>
              </w:tabs>
            </w:pPr>
          </w:p>
        </w:tc>
      </w:tr>
      <w:tr w:rsidR="00C97A4E" w14:paraId="4FC83712" w14:textId="77777777" w:rsidTr="0026640E">
        <w:trPr>
          <w:trHeight w:val="3483"/>
        </w:trPr>
        <w:tc>
          <w:tcPr>
            <w:tcW w:w="11328" w:type="dxa"/>
            <w:gridSpan w:val="3"/>
            <w:tcBorders>
              <w:top w:val="nil"/>
              <w:bottom w:val="nil"/>
            </w:tcBorders>
            <w:noWrap/>
            <w:tcMar>
              <w:right w:w="48" w:type="dxa"/>
            </w:tcMar>
          </w:tcPr>
          <w:p w14:paraId="1A47CE76" w14:textId="77777777" w:rsidR="00C97A4E" w:rsidRPr="00267B36" w:rsidRDefault="00C97A4E" w:rsidP="007B1829">
            <w:pPr>
              <w:pStyle w:val="Fill-in"/>
              <w:tabs>
                <w:tab w:val="left" w:pos="1980"/>
              </w:tabs>
              <w:jc w:val="left"/>
              <w:rPr>
                <w:b/>
                <w:bCs/>
              </w:rPr>
            </w:pPr>
          </w:p>
        </w:tc>
      </w:tr>
    </w:tbl>
    <w:p w14:paraId="4EF57BD7" w14:textId="77777777" w:rsidR="00545E92" w:rsidRDefault="00545E92" w:rsidP="00545E92">
      <w:pPr>
        <w:pStyle w:val="Heading2"/>
        <w:keepNext w:val="0"/>
        <w:sectPr w:rsidR="00545E92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 w:code="1"/>
          <w:pgMar w:top="720" w:right="480" w:bottom="480" w:left="480" w:header="480" w:footer="384" w:gutter="0"/>
          <w:cols w:space="720"/>
          <w:docGrid w:linePitch="360"/>
        </w:sectPr>
      </w:pPr>
    </w:p>
    <w:p w14:paraId="3A9CB9D4" w14:textId="77777777" w:rsidR="00545E92" w:rsidRDefault="00545E92" w:rsidP="00545E92">
      <w:pPr>
        <w:pStyle w:val="Fill-in"/>
        <w:tabs>
          <w:tab w:val="left" w:pos="2160"/>
          <w:tab w:val="left" w:pos="2208"/>
          <w:tab w:val="left" w:pos="11328"/>
        </w:tabs>
        <w:ind w:hanging="2160"/>
        <w:jc w:val="left"/>
      </w:pPr>
      <w:r>
        <w:t>1</w:t>
      </w:r>
    </w:p>
    <w:tbl>
      <w:tblPr>
        <w:tblW w:w="11328" w:type="dxa"/>
        <w:tblBorders>
          <w:top w:val="double" w:sz="6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7248"/>
        <w:gridCol w:w="4080"/>
      </w:tblGrid>
      <w:tr w:rsidR="00545E92" w14:paraId="57C76944" w14:textId="77777777" w:rsidTr="007B1829">
        <w:trPr>
          <w:cantSplit/>
          <w:trHeight w:hRule="exact" w:val="240"/>
        </w:trPr>
        <w:tc>
          <w:tcPr>
            <w:tcW w:w="11328" w:type="dxa"/>
            <w:gridSpan w:val="2"/>
            <w:tcBorders>
              <w:top w:val="nil"/>
              <w:bottom w:val="single" w:sz="8" w:space="0" w:color="auto"/>
            </w:tcBorders>
            <w:noWrap/>
            <w:tcMar>
              <w:right w:w="48" w:type="dxa"/>
            </w:tcMar>
            <w:vAlign w:val="bottom"/>
          </w:tcPr>
          <w:p w14:paraId="2991C1E0" w14:textId="77777777" w:rsidR="00545E92" w:rsidRDefault="00545E92" w:rsidP="007B1829">
            <w:pPr>
              <w:pStyle w:val="Heading2"/>
            </w:pPr>
          </w:p>
        </w:tc>
      </w:tr>
      <w:tr w:rsidR="00545E92" w14:paraId="76B578EE" w14:textId="77777777" w:rsidTr="007B1829">
        <w:trPr>
          <w:cantSplit/>
          <w:trHeight w:hRule="exact" w:val="720"/>
        </w:trPr>
        <w:tc>
          <w:tcPr>
            <w:tcW w:w="7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right w:w="48" w:type="dxa"/>
            </w:tcMar>
          </w:tcPr>
          <w:p w14:paraId="181E4D11" w14:textId="77777777" w:rsidR="00545E92" w:rsidRDefault="00545E92" w:rsidP="007B1829">
            <w:pPr>
              <w:pStyle w:val="Subhead"/>
            </w:pPr>
            <w:r>
              <w:t>Employee’s signature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right w:w="48" w:type="dxa"/>
            </w:tcMar>
          </w:tcPr>
          <w:p w14:paraId="5D7F4636" w14:textId="77777777" w:rsidR="00545E92" w:rsidRDefault="00545E92" w:rsidP="007B1829">
            <w:pPr>
              <w:pStyle w:val="Subhead"/>
            </w:pPr>
            <w:r>
              <w:t>Date</w:t>
            </w:r>
          </w:p>
        </w:tc>
      </w:tr>
      <w:tr w:rsidR="00545E92" w14:paraId="651AC591" w14:textId="77777777" w:rsidTr="007B1829">
        <w:trPr>
          <w:cantSplit/>
          <w:trHeight w:hRule="exact" w:val="720"/>
        </w:trPr>
        <w:tc>
          <w:tcPr>
            <w:tcW w:w="724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right w:w="48" w:type="dxa"/>
            </w:tcMar>
          </w:tcPr>
          <w:p w14:paraId="2AED3135" w14:textId="77777777" w:rsidR="00545E92" w:rsidRDefault="00545E92" w:rsidP="007B1829">
            <w:pPr>
              <w:pStyle w:val="Subhead"/>
            </w:pPr>
            <w:r>
              <w:t>Supervisor’s signature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right w:w="48" w:type="dxa"/>
            </w:tcMar>
          </w:tcPr>
          <w:p w14:paraId="688583B6" w14:textId="77777777" w:rsidR="00545E92" w:rsidRDefault="00545E92" w:rsidP="007B1829">
            <w:pPr>
              <w:pStyle w:val="Subhead"/>
            </w:pPr>
            <w:r>
              <w:t>Date</w:t>
            </w:r>
          </w:p>
        </w:tc>
      </w:tr>
    </w:tbl>
    <w:p w14:paraId="4F1A2D75" w14:textId="77777777" w:rsidR="00640E78" w:rsidRDefault="00640E78" w:rsidP="00545E92">
      <w:pPr>
        <w:pStyle w:val="Footer"/>
        <w:rPr>
          <w:sz w:val="4"/>
        </w:rPr>
      </w:pPr>
    </w:p>
    <w:p w14:paraId="3A4EBCEB" w14:textId="77777777" w:rsidR="00640E78" w:rsidRPr="00640E78" w:rsidRDefault="00640E78" w:rsidP="00640E78"/>
    <w:p w14:paraId="79B24DEC" w14:textId="77777777" w:rsidR="00640E78" w:rsidRPr="00640E78" w:rsidRDefault="00640E78" w:rsidP="00640E78"/>
    <w:p w14:paraId="48644CAC" w14:textId="77777777" w:rsidR="00545E92" w:rsidRPr="00640E78" w:rsidRDefault="00640E78" w:rsidP="00640E78">
      <w:pPr>
        <w:tabs>
          <w:tab w:val="left" w:pos="2866"/>
        </w:tabs>
      </w:pPr>
      <w:r>
        <w:tab/>
      </w:r>
    </w:p>
    <w:sectPr w:rsidR="00545E92" w:rsidRPr="00640E78" w:rsidSect="00F72ADC">
      <w:headerReference w:type="default" r:id="rId10"/>
      <w:type w:val="continuous"/>
      <w:pgSz w:w="12240" w:h="15840" w:code="1"/>
      <w:pgMar w:top="720" w:right="480" w:bottom="480" w:left="480" w:header="480" w:footer="3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DBA75" w14:textId="77777777" w:rsidR="00D769A6" w:rsidRDefault="00D769A6">
      <w:r>
        <w:separator/>
      </w:r>
    </w:p>
  </w:endnote>
  <w:endnote w:type="continuationSeparator" w:id="0">
    <w:p w14:paraId="74C28EE0" w14:textId="77777777" w:rsidR="00D769A6" w:rsidRDefault="00D7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33E5" w14:textId="7D4A023A" w:rsidR="003B01EF" w:rsidRDefault="00C0078C">
    <w:pPr>
      <w:pStyle w:val="Footer"/>
      <w:rPr>
        <w:sz w:val="16"/>
      </w:rPr>
    </w:pPr>
    <w:r>
      <w:t>DHCS 2388 (7/07)</w:t>
    </w:r>
    <w:r>
      <w:tab/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A01C05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A01C05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DCB8" w14:textId="77777777" w:rsidR="003B01EF" w:rsidRDefault="00C0078C">
    <w:pPr>
      <w:pStyle w:val="Footer"/>
      <w:rPr>
        <w:sz w:val="16"/>
      </w:rPr>
    </w:pPr>
    <w:r>
      <w:t>DHS 2388 (3/02)</w:t>
    </w:r>
    <w:r>
      <w:tab/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43655" w14:textId="77777777" w:rsidR="00D769A6" w:rsidRDefault="00D769A6">
      <w:r>
        <w:separator/>
      </w:r>
    </w:p>
  </w:footnote>
  <w:footnote w:type="continuationSeparator" w:id="0">
    <w:p w14:paraId="745850E7" w14:textId="77777777" w:rsidR="00D769A6" w:rsidRDefault="00D7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3E515" w14:textId="77777777" w:rsidR="003B01EF" w:rsidRDefault="00C0078C">
    <w:pPr>
      <w:pStyle w:val="Header"/>
    </w:pPr>
    <w:r>
      <w:t xml:space="preserve">State of </w:t>
    </w:r>
    <w:smartTag w:uri="urn:schemas-microsoft-com:office:smarttags" w:element="State">
      <w:smartTag w:uri="urn:schemas-microsoft-com:office:smarttags" w:element="place">
        <w:r>
          <w:t>California</w:t>
        </w:r>
      </w:smartTag>
    </w:smartTag>
    <w:r>
      <w:t>—Health and Human Services Agency</w:t>
    </w:r>
    <w:r>
      <w:tab/>
      <w:t>Department of Health Care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3FA67" w14:textId="77777777" w:rsidR="003B01EF" w:rsidRDefault="00C0078C">
    <w:pPr>
      <w:pStyle w:val="Header"/>
    </w:pPr>
    <w:r>
      <w:t xml:space="preserve">State of </w:t>
    </w:r>
    <w:smartTag w:uri="urn:schemas-microsoft-com:office:smarttags" w:element="State">
      <w:smartTag w:uri="urn:schemas-microsoft-com:office:smarttags" w:element="place">
        <w:r>
          <w:t>California</w:t>
        </w:r>
      </w:smartTag>
    </w:smartTag>
    <w:r>
      <w:t>—Health and Human Services Agency</w:t>
    </w:r>
    <w:r>
      <w:tab/>
      <w:t>Department of Health Services</w:t>
    </w:r>
  </w:p>
  <w:p w14:paraId="416A38DB" w14:textId="77777777" w:rsidR="003B01EF" w:rsidRDefault="00A01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45B5C" w14:textId="77777777" w:rsidR="003B01EF" w:rsidRDefault="00A01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92"/>
    <w:rsid w:val="00080AB8"/>
    <w:rsid w:val="000A746E"/>
    <w:rsid w:val="000B57F5"/>
    <w:rsid w:val="0026640E"/>
    <w:rsid w:val="00271BC1"/>
    <w:rsid w:val="004008F5"/>
    <w:rsid w:val="004225E9"/>
    <w:rsid w:val="00545E92"/>
    <w:rsid w:val="00553709"/>
    <w:rsid w:val="0057202D"/>
    <w:rsid w:val="005A1A0E"/>
    <w:rsid w:val="005D3669"/>
    <w:rsid w:val="00640E78"/>
    <w:rsid w:val="00664F51"/>
    <w:rsid w:val="006A2171"/>
    <w:rsid w:val="006F2E0E"/>
    <w:rsid w:val="006F3AFF"/>
    <w:rsid w:val="0073218B"/>
    <w:rsid w:val="00734BBC"/>
    <w:rsid w:val="00771C40"/>
    <w:rsid w:val="00856F7A"/>
    <w:rsid w:val="008C53D9"/>
    <w:rsid w:val="008C7525"/>
    <w:rsid w:val="008D038B"/>
    <w:rsid w:val="008E56CC"/>
    <w:rsid w:val="008F48F4"/>
    <w:rsid w:val="009407F8"/>
    <w:rsid w:val="009578C3"/>
    <w:rsid w:val="00991417"/>
    <w:rsid w:val="00A00F9C"/>
    <w:rsid w:val="00A01C05"/>
    <w:rsid w:val="00AD49F7"/>
    <w:rsid w:val="00B05A3C"/>
    <w:rsid w:val="00B46596"/>
    <w:rsid w:val="00B77D80"/>
    <w:rsid w:val="00BC2C96"/>
    <w:rsid w:val="00C0078C"/>
    <w:rsid w:val="00C22243"/>
    <w:rsid w:val="00C509CD"/>
    <w:rsid w:val="00C97A4E"/>
    <w:rsid w:val="00CA45BC"/>
    <w:rsid w:val="00CE5737"/>
    <w:rsid w:val="00D769A6"/>
    <w:rsid w:val="00D83F18"/>
    <w:rsid w:val="00DB1978"/>
    <w:rsid w:val="00DC04DE"/>
    <w:rsid w:val="00DE6ED6"/>
    <w:rsid w:val="00E513FE"/>
    <w:rsid w:val="00E6206D"/>
    <w:rsid w:val="00E81FC7"/>
    <w:rsid w:val="00E95658"/>
    <w:rsid w:val="00EB0159"/>
    <w:rsid w:val="00EE05F0"/>
    <w:rsid w:val="00F53127"/>
    <w:rsid w:val="00F67817"/>
    <w:rsid w:val="00F7218D"/>
    <w:rsid w:val="00F72ADC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6C8450"/>
  <w15:chartTrackingRefBased/>
  <w15:docId w15:val="{251D24E6-F916-46BB-A87F-DEBFE36F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E92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next w:val="Normal"/>
    <w:link w:val="Heading1Char"/>
    <w:qFormat/>
    <w:rsid w:val="00545E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aps/>
      <w:kern w:val="32"/>
      <w:sz w:val="24"/>
      <w:szCs w:val="32"/>
    </w:rPr>
  </w:style>
  <w:style w:type="paragraph" w:styleId="Heading2">
    <w:name w:val="heading 2"/>
    <w:next w:val="Normal"/>
    <w:link w:val="Heading2Char"/>
    <w:qFormat/>
    <w:rsid w:val="00545E92"/>
    <w:pPr>
      <w:keepNext/>
      <w:spacing w:after="120" w:line="240" w:lineRule="auto"/>
      <w:jc w:val="both"/>
      <w:outlineLvl w:val="1"/>
    </w:pPr>
    <w:rPr>
      <w:rFonts w:ascii="Arial" w:eastAsia="Times New Roman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E92"/>
    <w:rPr>
      <w:rFonts w:ascii="Arial" w:eastAsia="Times New Roman" w:hAnsi="Arial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45E92"/>
    <w:rPr>
      <w:rFonts w:ascii="Arial" w:eastAsia="Times New Roman" w:hAnsi="Arial" w:cs="Arial"/>
      <w:b/>
      <w:bCs/>
      <w:iCs/>
      <w:szCs w:val="28"/>
    </w:rPr>
  </w:style>
  <w:style w:type="paragraph" w:styleId="Header">
    <w:name w:val="header"/>
    <w:link w:val="HeaderChar"/>
    <w:rsid w:val="00545E92"/>
    <w:pPr>
      <w:tabs>
        <w:tab w:val="right" w:pos="11280"/>
      </w:tabs>
      <w:spacing w:after="0" w:line="240" w:lineRule="auto"/>
    </w:pPr>
    <w:rPr>
      <w:rFonts w:ascii="Arial" w:eastAsia="Times New Roman" w:hAnsi="Arial" w:cs="Arial"/>
      <w:sz w:val="12"/>
      <w:szCs w:val="20"/>
    </w:rPr>
  </w:style>
  <w:style w:type="character" w:customStyle="1" w:styleId="HeaderChar">
    <w:name w:val="Header Char"/>
    <w:basedOn w:val="DefaultParagraphFont"/>
    <w:link w:val="Header"/>
    <w:rsid w:val="00545E92"/>
    <w:rPr>
      <w:rFonts w:ascii="Arial" w:eastAsia="Times New Roman" w:hAnsi="Arial" w:cs="Arial"/>
      <w:sz w:val="12"/>
      <w:szCs w:val="20"/>
    </w:rPr>
  </w:style>
  <w:style w:type="paragraph" w:styleId="Footer">
    <w:name w:val="footer"/>
    <w:link w:val="FooterChar"/>
    <w:rsid w:val="00545E92"/>
    <w:pPr>
      <w:tabs>
        <w:tab w:val="right" w:pos="11280"/>
      </w:tabs>
      <w:spacing w:after="0" w:line="240" w:lineRule="auto"/>
    </w:pPr>
    <w:rPr>
      <w:rFonts w:ascii="Arial" w:eastAsia="Times New Roman" w:hAnsi="Arial" w:cs="Arial"/>
      <w:sz w:val="12"/>
      <w:szCs w:val="20"/>
    </w:rPr>
  </w:style>
  <w:style w:type="character" w:customStyle="1" w:styleId="FooterChar">
    <w:name w:val="Footer Char"/>
    <w:basedOn w:val="DefaultParagraphFont"/>
    <w:link w:val="Footer"/>
    <w:rsid w:val="00545E92"/>
    <w:rPr>
      <w:rFonts w:ascii="Arial" w:eastAsia="Times New Roman" w:hAnsi="Arial" w:cs="Arial"/>
      <w:sz w:val="12"/>
      <w:szCs w:val="20"/>
    </w:rPr>
  </w:style>
  <w:style w:type="character" w:styleId="PageNumber">
    <w:name w:val="page number"/>
    <w:basedOn w:val="DefaultParagraphFont"/>
    <w:rsid w:val="00545E92"/>
  </w:style>
  <w:style w:type="paragraph" w:customStyle="1" w:styleId="Subhead">
    <w:name w:val="Subhead"/>
    <w:rsid w:val="00545E92"/>
    <w:pPr>
      <w:spacing w:after="0" w:line="180" w:lineRule="exact"/>
    </w:pPr>
    <w:rPr>
      <w:rFonts w:ascii="Arial" w:eastAsia="Times New Roman" w:hAnsi="Arial" w:cs="Times New Roman"/>
      <w:sz w:val="14"/>
      <w:szCs w:val="20"/>
    </w:rPr>
  </w:style>
  <w:style w:type="paragraph" w:customStyle="1" w:styleId="Fill-in">
    <w:name w:val="Fill-in"/>
    <w:rsid w:val="00545E92"/>
    <w:pPr>
      <w:spacing w:after="0" w:line="240" w:lineRule="auto"/>
      <w:jc w:val="both"/>
    </w:pPr>
    <w:rPr>
      <w:rFonts w:ascii="Arial" w:eastAsia="Times New Roman" w:hAnsi="Arial" w:cs="Arial"/>
      <w:iCs/>
      <w:szCs w:val="28"/>
    </w:rPr>
  </w:style>
  <w:style w:type="paragraph" w:customStyle="1" w:styleId="Fill-in--Centered">
    <w:name w:val="Fill-in--Centered"/>
    <w:basedOn w:val="Fill-in"/>
    <w:rsid w:val="00545E92"/>
    <w:pPr>
      <w:jc w:val="center"/>
    </w:pPr>
    <w:rPr>
      <w:b/>
      <w:bCs/>
      <w:noProof/>
    </w:rPr>
  </w:style>
  <w:style w:type="paragraph" w:styleId="BodyTextIndent2">
    <w:name w:val="Body Text Indent 2"/>
    <w:basedOn w:val="Normal"/>
    <w:link w:val="BodyTextIndent2Char"/>
    <w:rsid w:val="00545E9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rsid w:val="00545E92"/>
    <w:rPr>
      <w:rFonts w:ascii="Arial" w:eastAsia="Times New Roman" w:hAnsi="Arial" w:cs="Times New Roman"/>
      <w:szCs w:val="24"/>
    </w:rPr>
  </w:style>
  <w:style w:type="character" w:customStyle="1" w:styleId="68">
    <w:name w:val="6/8"/>
    <w:rsid w:val="008C53D9"/>
    <w:rPr>
      <w:rFonts w:ascii="Arial" w:hAnsi="Arial"/>
      <w:b/>
      <w:caps/>
      <w:color w:val="0000FF"/>
      <w:sz w:val="12"/>
      <w:u w:val="none"/>
      <w:vertAlign w:val="baseline"/>
    </w:rPr>
  </w:style>
  <w:style w:type="paragraph" w:customStyle="1" w:styleId="FillIn">
    <w:name w:val="Fill In"/>
    <w:basedOn w:val="Normal"/>
    <w:rsid w:val="005D3669"/>
    <w:pPr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Times New Roman" w:hAnsi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0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AB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AB8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Saelee, Briana (OHC)</dc:creator>
  <cp:keywords/>
  <dc:description/>
  <cp:lastModifiedBy>Flores, Brooke@DHCS</cp:lastModifiedBy>
  <cp:revision>2</cp:revision>
  <dcterms:created xsi:type="dcterms:W3CDTF">2021-06-04T21:58:00Z</dcterms:created>
  <dcterms:modified xsi:type="dcterms:W3CDTF">2021-06-04T21:58:00Z</dcterms:modified>
</cp:coreProperties>
</file>