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Spec="center" w:tblpY="1"/>
        <w:tblOverlap w:val="never"/>
        <w:tblW w:w="10808" w:type="dxa"/>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631558">
        <w:tc>
          <w:tcPr>
            <w:tcW w:w="8780" w:type="dxa"/>
            <w:gridSpan w:val="6"/>
            <w:tcBorders>
              <w:top w:val="nil"/>
              <w:left w:val="nil"/>
              <w:bottom w:val="nil"/>
            </w:tcBorders>
          </w:tcPr>
          <w:p w14:paraId="4E6DB626" w14:textId="77777777" w:rsidR="005943C7" w:rsidRPr="002E1CA3" w:rsidRDefault="005943C7" w:rsidP="00631558">
            <w:pPr>
              <w:rPr>
                <w:b/>
                <w:sz w:val="24"/>
                <w:szCs w:val="24"/>
              </w:rPr>
            </w:pPr>
            <w:r w:rsidRPr="002E1CA3">
              <w:rPr>
                <w:b/>
                <w:sz w:val="24"/>
                <w:szCs w:val="24"/>
              </w:rPr>
              <w:t>CALIFORNIA DEPARTMENT OF CORRECTIONS AND REHABILITATION</w:t>
            </w:r>
          </w:p>
        </w:tc>
        <w:tc>
          <w:tcPr>
            <w:tcW w:w="341" w:type="dxa"/>
            <w:tcBorders>
              <w:top w:val="single" w:sz="4" w:space="0" w:color="auto"/>
              <w:bottom w:val="single" w:sz="4" w:space="0" w:color="auto"/>
            </w:tcBorders>
          </w:tcPr>
          <w:p w14:paraId="61F1ACA4" w14:textId="25ED2594" w:rsidR="005943C7" w:rsidRPr="002E1CA3" w:rsidRDefault="005943C7" w:rsidP="00631558">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rsidP="00631558">
            <w:pPr>
              <w:rPr>
                <w:sz w:val="24"/>
                <w:szCs w:val="24"/>
              </w:rPr>
            </w:pPr>
            <w:r w:rsidRPr="002E1CA3">
              <w:rPr>
                <w:sz w:val="24"/>
                <w:szCs w:val="24"/>
              </w:rPr>
              <w:t>PROPOSED</w:t>
            </w:r>
          </w:p>
        </w:tc>
      </w:tr>
      <w:tr w:rsidR="002E1CA3" w:rsidRPr="002E1CA3" w14:paraId="05CBA305" w14:textId="77777777" w:rsidTr="00631558">
        <w:tc>
          <w:tcPr>
            <w:tcW w:w="5405" w:type="dxa"/>
            <w:gridSpan w:val="3"/>
            <w:tcBorders>
              <w:top w:val="nil"/>
              <w:left w:val="nil"/>
              <w:bottom w:val="nil"/>
              <w:right w:val="nil"/>
            </w:tcBorders>
          </w:tcPr>
          <w:p w14:paraId="1F59FBF0" w14:textId="77777777" w:rsidR="00CD0D6A" w:rsidRPr="002E1CA3" w:rsidRDefault="005943C7" w:rsidP="00631558">
            <w:pPr>
              <w:rPr>
                <w:sz w:val="20"/>
                <w:szCs w:val="20"/>
              </w:rPr>
            </w:pPr>
            <w:r w:rsidRPr="002E1CA3">
              <w:rPr>
                <w:sz w:val="20"/>
                <w:szCs w:val="20"/>
              </w:rPr>
              <w:t>POSITION DUTY STATEMENT</w:t>
            </w:r>
          </w:p>
        </w:tc>
        <w:tc>
          <w:tcPr>
            <w:tcW w:w="5403" w:type="dxa"/>
            <w:gridSpan w:val="7"/>
            <w:tcBorders>
              <w:top w:val="nil"/>
              <w:left w:val="nil"/>
              <w:bottom w:val="nil"/>
              <w:right w:val="nil"/>
            </w:tcBorders>
          </w:tcPr>
          <w:p w14:paraId="5A22D82A" w14:textId="77777777" w:rsidR="00CD0D6A" w:rsidRPr="002E1CA3" w:rsidRDefault="00CD0D6A" w:rsidP="00631558">
            <w:pPr>
              <w:rPr>
                <w:sz w:val="24"/>
                <w:szCs w:val="24"/>
              </w:rPr>
            </w:pPr>
          </w:p>
        </w:tc>
      </w:tr>
      <w:tr w:rsidR="002E1CA3" w:rsidRPr="002E1CA3" w14:paraId="39CA46A1" w14:textId="77777777" w:rsidTr="00631558">
        <w:tc>
          <w:tcPr>
            <w:tcW w:w="5405" w:type="dxa"/>
            <w:gridSpan w:val="3"/>
            <w:tcBorders>
              <w:top w:val="nil"/>
              <w:left w:val="nil"/>
              <w:bottom w:val="nil"/>
              <w:right w:val="nil"/>
            </w:tcBorders>
          </w:tcPr>
          <w:p w14:paraId="7039AF89" w14:textId="77777777" w:rsidR="00CD0D6A" w:rsidRPr="002E1CA3" w:rsidRDefault="00CD0D6A" w:rsidP="00631558">
            <w:pPr>
              <w:rPr>
                <w:sz w:val="24"/>
                <w:szCs w:val="24"/>
              </w:rPr>
            </w:pPr>
          </w:p>
        </w:tc>
        <w:tc>
          <w:tcPr>
            <w:tcW w:w="3375" w:type="dxa"/>
            <w:gridSpan w:val="3"/>
            <w:tcBorders>
              <w:top w:val="nil"/>
              <w:left w:val="nil"/>
              <w:bottom w:val="nil"/>
            </w:tcBorders>
          </w:tcPr>
          <w:p w14:paraId="701007DD" w14:textId="77777777" w:rsidR="00CD0D6A" w:rsidRPr="002E1CA3" w:rsidRDefault="00CD0D6A" w:rsidP="00631558">
            <w:pPr>
              <w:rPr>
                <w:sz w:val="24"/>
                <w:szCs w:val="24"/>
              </w:rPr>
            </w:pPr>
          </w:p>
        </w:tc>
        <w:tc>
          <w:tcPr>
            <w:tcW w:w="341" w:type="dxa"/>
            <w:tcBorders>
              <w:top w:val="single" w:sz="4" w:space="0" w:color="auto"/>
              <w:bottom w:val="single" w:sz="4" w:space="0" w:color="auto"/>
            </w:tcBorders>
          </w:tcPr>
          <w:p w14:paraId="320A951C" w14:textId="632E9169" w:rsidR="00CD0D6A" w:rsidRPr="002E1CA3" w:rsidRDefault="00631558" w:rsidP="00631558">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631558">
            <w:pPr>
              <w:rPr>
                <w:sz w:val="24"/>
                <w:szCs w:val="24"/>
              </w:rPr>
            </w:pPr>
            <w:r w:rsidRPr="002E1CA3">
              <w:rPr>
                <w:sz w:val="24"/>
                <w:szCs w:val="24"/>
              </w:rPr>
              <w:t>CURRENT</w:t>
            </w:r>
          </w:p>
        </w:tc>
      </w:tr>
      <w:tr w:rsidR="002E1CA3" w:rsidRPr="002E1CA3" w14:paraId="0FA26A8C" w14:textId="77777777" w:rsidTr="00631558">
        <w:tc>
          <w:tcPr>
            <w:tcW w:w="5405" w:type="dxa"/>
            <w:gridSpan w:val="3"/>
            <w:tcBorders>
              <w:top w:val="nil"/>
              <w:left w:val="nil"/>
              <w:bottom w:val="single" w:sz="4" w:space="0" w:color="auto"/>
              <w:right w:val="nil"/>
            </w:tcBorders>
          </w:tcPr>
          <w:p w14:paraId="200465C8" w14:textId="77777777" w:rsidR="00CD0D6A" w:rsidRPr="002E1CA3" w:rsidRDefault="00CD0D6A" w:rsidP="00631558">
            <w:pPr>
              <w:rPr>
                <w:sz w:val="24"/>
                <w:szCs w:val="24"/>
              </w:rPr>
            </w:pPr>
          </w:p>
        </w:tc>
        <w:tc>
          <w:tcPr>
            <w:tcW w:w="5403" w:type="dxa"/>
            <w:gridSpan w:val="7"/>
            <w:tcBorders>
              <w:top w:val="nil"/>
              <w:left w:val="nil"/>
              <w:bottom w:val="single" w:sz="4" w:space="0" w:color="auto"/>
              <w:right w:val="nil"/>
            </w:tcBorders>
          </w:tcPr>
          <w:p w14:paraId="63C17495" w14:textId="77777777" w:rsidR="00CD0D6A" w:rsidRPr="002E1CA3" w:rsidRDefault="00CD0D6A" w:rsidP="00631558">
            <w:pPr>
              <w:rPr>
                <w:sz w:val="24"/>
                <w:szCs w:val="24"/>
              </w:rPr>
            </w:pPr>
          </w:p>
        </w:tc>
      </w:tr>
      <w:tr w:rsidR="00A06728" w:rsidRPr="002E1CA3" w14:paraId="2BE7F333" w14:textId="77777777" w:rsidTr="00631558">
        <w:tc>
          <w:tcPr>
            <w:tcW w:w="5405" w:type="dxa"/>
            <w:gridSpan w:val="3"/>
            <w:tcBorders>
              <w:top w:val="single" w:sz="4" w:space="0" w:color="auto"/>
              <w:left w:val="single" w:sz="4" w:space="0" w:color="auto"/>
              <w:bottom w:val="nil"/>
            </w:tcBorders>
          </w:tcPr>
          <w:p w14:paraId="64DE3E58" w14:textId="77777777" w:rsidR="00A06728" w:rsidRPr="002E1CA3" w:rsidRDefault="00A06728" w:rsidP="00631558">
            <w:pPr>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63155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631558">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631558">
        <w:tc>
          <w:tcPr>
            <w:tcW w:w="5405" w:type="dxa"/>
            <w:gridSpan w:val="3"/>
            <w:tcBorders>
              <w:top w:val="nil"/>
              <w:left w:val="single" w:sz="4" w:space="0" w:color="auto"/>
              <w:bottom w:val="single" w:sz="4" w:space="0" w:color="auto"/>
            </w:tcBorders>
          </w:tcPr>
          <w:p w14:paraId="7C69B0E8" w14:textId="14CD2913" w:rsidR="00A06728" w:rsidRPr="002E1CA3" w:rsidRDefault="003579A0" w:rsidP="00631558">
            <w:pPr>
              <w:rPr>
                <w:sz w:val="24"/>
                <w:szCs w:val="24"/>
              </w:rPr>
            </w:pPr>
            <w:r>
              <w:rPr>
                <w:sz w:val="24"/>
                <w:szCs w:val="24"/>
              </w:rPr>
              <w:t>Correctional Policy Research and Internal Oversight</w:t>
            </w:r>
          </w:p>
        </w:tc>
        <w:tc>
          <w:tcPr>
            <w:tcW w:w="4325" w:type="dxa"/>
            <w:gridSpan w:val="6"/>
            <w:tcBorders>
              <w:top w:val="nil"/>
              <w:bottom w:val="single" w:sz="4" w:space="0" w:color="auto"/>
            </w:tcBorders>
            <w:vAlign w:val="center"/>
          </w:tcPr>
          <w:p w14:paraId="7DB4BC1F" w14:textId="04AC5B13" w:rsidR="00A06728" w:rsidRPr="00167A73" w:rsidRDefault="00657455" w:rsidP="00631558">
            <w:r>
              <w:t>048</w:t>
            </w:r>
            <w:r w:rsidR="00A06728" w:rsidRPr="00167A73">
              <w:t>-</w:t>
            </w:r>
            <w:r w:rsidR="00631558">
              <w:t>202-5157-002</w:t>
            </w:r>
          </w:p>
        </w:tc>
        <w:tc>
          <w:tcPr>
            <w:tcW w:w="1078" w:type="dxa"/>
            <w:tcBorders>
              <w:top w:val="nil"/>
              <w:bottom w:val="single" w:sz="4" w:space="0" w:color="auto"/>
            </w:tcBorders>
            <w:vAlign w:val="center"/>
          </w:tcPr>
          <w:p w14:paraId="19A1FD9B" w14:textId="2100DECC" w:rsidR="00A06728" w:rsidRPr="00167A73" w:rsidRDefault="00631558" w:rsidP="00631558">
            <w:pPr>
              <w:jc w:val="center"/>
            </w:pPr>
            <w:r>
              <w:t>1/H</w:t>
            </w:r>
          </w:p>
        </w:tc>
      </w:tr>
      <w:tr w:rsidR="004120A7" w:rsidRPr="002E1CA3" w14:paraId="7D25EBD4" w14:textId="77777777" w:rsidTr="00631558">
        <w:tc>
          <w:tcPr>
            <w:tcW w:w="5405" w:type="dxa"/>
            <w:gridSpan w:val="3"/>
            <w:tcBorders>
              <w:top w:val="single" w:sz="4" w:space="0" w:color="auto"/>
              <w:bottom w:val="nil"/>
            </w:tcBorders>
          </w:tcPr>
          <w:p w14:paraId="489AE077" w14:textId="77777777" w:rsidR="004120A7" w:rsidRPr="00F77711" w:rsidRDefault="004120A7" w:rsidP="00631558">
            <w:pPr>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631558">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631558">
        <w:tc>
          <w:tcPr>
            <w:tcW w:w="5405" w:type="dxa"/>
            <w:gridSpan w:val="3"/>
            <w:vMerge w:val="restart"/>
            <w:tcBorders>
              <w:top w:val="nil"/>
            </w:tcBorders>
            <w:vAlign w:val="center"/>
          </w:tcPr>
          <w:p w14:paraId="6BA3D510" w14:textId="6F5569DF" w:rsidR="003D015D" w:rsidRPr="003D015D" w:rsidRDefault="003D015D" w:rsidP="00631558">
            <w:pPr>
              <w:rPr>
                <w:rFonts w:eastAsia="Times New Roman" w:cstheme="minorHAnsi"/>
              </w:rPr>
            </w:pPr>
            <w:r w:rsidRPr="003D015D">
              <w:rPr>
                <w:rFonts w:eastAsia="Times New Roman" w:cstheme="minorHAnsi"/>
              </w:rPr>
              <w:tab/>
            </w:r>
          </w:p>
          <w:p w14:paraId="0731B230" w14:textId="77777777" w:rsidR="003D015D" w:rsidRPr="003D015D" w:rsidRDefault="003D015D" w:rsidP="00631558">
            <w:pPr>
              <w:ind w:left="10"/>
              <w:rPr>
                <w:rFonts w:eastAsia="Times New Roman" w:cstheme="minorHAnsi"/>
              </w:rPr>
            </w:pPr>
            <w:r w:rsidRPr="003D015D">
              <w:rPr>
                <w:rFonts w:eastAsia="Times New Roman" w:cstheme="minorHAnsi"/>
              </w:rPr>
              <w:t>Peace Officer Selection and Employee Development</w:t>
            </w:r>
          </w:p>
          <w:p w14:paraId="188D9A28" w14:textId="4A075B19" w:rsidR="003D015D" w:rsidRDefault="003D015D" w:rsidP="00631558">
            <w:pPr>
              <w:rPr>
                <w:rFonts w:eastAsia="Times New Roman" w:cstheme="minorHAnsi"/>
              </w:rPr>
            </w:pPr>
            <w:r w:rsidRPr="003D015D">
              <w:rPr>
                <w:rFonts w:eastAsia="Times New Roman" w:cstheme="minorHAnsi"/>
              </w:rPr>
              <w:t>Office of Peace Officer Selection</w:t>
            </w:r>
          </w:p>
          <w:p w14:paraId="173EB197" w14:textId="6FA5AB31" w:rsidR="00631558" w:rsidRPr="003D015D" w:rsidRDefault="00631558" w:rsidP="00631558">
            <w:pPr>
              <w:rPr>
                <w:rFonts w:eastAsia="Times New Roman" w:cstheme="minorHAnsi"/>
              </w:rPr>
            </w:pPr>
            <w:r>
              <w:rPr>
                <w:rFonts w:eastAsia="Times New Roman" w:cstheme="minorHAnsi"/>
              </w:rPr>
              <w:t>Northern Selection Center</w:t>
            </w:r>
          </w:p>
          <w:p w14:paraId="32D51289" w14:textId="68F05CC7" w:rsidR="004871ED" w:rsidRPr="00167A73" w:rsidRDefault="00631558" w:rsidP="00631558">
            <w:r>
              <w:rPr>
                <w:rFonts w:eastAsia="Times New Roman" w:cstheme="minorHAnsi"/>
              </w:rPr>
              <w:t xml:space="preserve">Background Investigation </w:t>
            </w:r>
            <w:r w:rsidR="003579A0">
              <w:rPr>
                <w:rFonts w:eastAsia="Times New Roman" w:cstheme="minorHAnsi"/>
              </w:rPr>
              <w:t>Unit</w:t>
            </w:r>
          </w:p>
        </w:tc>
        <w:tc>
          <w:tcPr>
            <w:tcW w:w="5403" w:type="dxa"/>
            <w:gridSpan w:val="7"/>
            <w:tcBorders>
              <w:top w:val="nil"/>
              <w:bottom w:val="single" w:sz="4" w:space="0" w:color="auto"/>
            </w:tcBorders>
            <w:vAlign w:val="center"/>
          </w:tcPr>
          <w:p w14:paraId="3334E89D" w14:textId="689E1DD7" w:rsidR="004120A7" w:rsidRPr="00167A73" w:rsidRDefault="00631558" w:rsidP="00631558">
            <w:r>
              <w:t>Staff Services Analyst</w:t>
            </w:r>
          </w:p>
        </w:tc>
      </w:tr>
      <w:tr w:rsidR="004120A7" w:rsidRPr="002E1CA3" w14:paraId="11B2C64D" w14:textId="77777777" w:rsidTr="00631558">
        <w:tc>
          <w:tcPr>
            <w:tcW w:w="5405" w:type="dxa"/>
            <w:gridSpan w:val="3"/>
            <w:vMerge/>
          </w:tcPr>
          <w:p w14:paraId="36B72ABC" w14:textId="77777777" w:rsidR="004120A7" w:rsidRPr="00F77711" w:rsidRDefault="004120A7" w:rsidP="00631558">
            <w:pPr>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631558">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631558">
        <w:tc>
          <w:tcPr>
            <w:tcW w:w="5405" w:type="dxa"/>
            <w:gridSpan w:val="3"/>
            <w:vMerge/>
            <w:vAlign w:val="center"/>
          </w:tcPr>
          <w:p w14:paraId="126E302C" w14:textId="77777777" w:rsidR="004120A7" w:rsidRPr="00167A73" w:rsidRDefault="004120A7" w:rsidP="00631558"/>
        </w:tc>
        <w:tc>
          <w:tcPr>
            <w:tcW w:w="5403" w:type="dxa"/>
            <w:gridSpan w:val="7"/>
            <w:tcBorders>
              <w:top w:val="nil"/>
              <w:bottom w:val="single" w:sz="4" w:space="0" w:color="auto"/>
            </w:tcBorders>
            <w:vAlign w:val="center"/>
          </w:tcPr>
          <w:p w14:paraId="283AC44E" w14:textId="3B7EDFBA" w:rsidR="004120A7" w:rsidRPr="00167A73" w:rsidRDefault="00631558" w:rsidP="00631558">
            <w:r>
              <w:t xml:space="preserve">Staff Services Analyst </w:t>
            </w:r>
          </w:p>
        </w:tc>
      </w:tr>
      <w:tr w:rsidR="004120A7" w:rsidRPr="002E1CA3" w14:paraId="07758462" w14:textId="77777777" w:rsidTr="00631558">
        <w:tc>
          <w:tcPr>
            <w:tcW w:w="5405" w:type="dxa"/>
            <w:gridSpan w:val="3"/>
            <w:vMerge/>
          </w:tcPr>
          <w:p w14:paraId="47D6A99F" w14:textId="77777777" w:rsidR="004120A7" w:rsidRPr="00F77711" w:rsidRDefault="004120A7" w:rsidP="00631558">
            <w:pPr>
              <w:rPr>
                <w:b/>
                <w:color w:val="7F7F7F" w:themeColor="text1" w:themeTint="80"/>
                <w:sz w:val="16"/>
                <w:szCs w:val="16"/>
              </w:rPr>
            </w:pPr>
          </w:p>
        </w:tc>
        <w:tc>
          <w:tcPr>
            <w:tcW w:w="1351" w:type="dxa"/>
            <w:tcBorders>
              <w:bottom w:val="nil"/>
            </w:tcBorders>
          </w:tcPr>
          <w:p w14:paraId="11360CE9" w14:textId="77777777" w:rsidR="004120A7" w:rsidRPr="00F77711" w:rsidRDefault="003D4110" w:rsidP="00631558">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631558">
            <w:pPr>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631558">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631558">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631558">
        <w:tc>
          <w:tcPr>
            <w:tcW w:w="5405" w:type="dxa"/>
            <w:gridSpan w:val="3"/>
            <w:vMerge/>
            <w:tcBorders>
              <w:bottom w:val="single" w:sz="4" w:space="0" w:color="auto"/>
            </w:tcBorders>
            <w:vAlign w:val="center"/>
          </w:tcPr>
          <w:p w14:paraId="426468C3" w14:textId="77777777" w:rsidR="004120A7" w:rsidRPr="00167A73" w:rsidRDefault="004120A7" w:rsidP="00631558"/>
        </w:tc>
        <w:tc>
          <w:tcPr>
            <w:tcW w:w="1351" w:type="dxa"/>
            <w:tcBorders>
              <w:top w:val="nil"/>
              <w:bottom w:val="single" w:sz="4" w:space="0" w:color="auto"/>
            </w:tcBorders>
            <w:vAlign w:val="center"/>
          </w:tcPr>
          <w:p w14:paraId="2113CD6B" w14:textId="69B02290" w:rsidR="004120A7" w:rsidRPr="00167A73" w:rsidRDefault="00631558" w:rsidP="00631558">
            <w:pPr>
              <w:spacing w:before="40" w:after="40"/>
            </w:pPr>
            <w:r>
              <w:t>FT/P</w:t>
            </w:r>
          </w:p>
        </w:tc>
        <w:tc>
          <w:tcPr>
            <w:tcW w:w="1351" w:type="dxa"/>
            <w:tcBorders>
              <w:top w:val="nil"/>
              <w:bottom w:val="single" w:sz="4" w:space="0" w:color="auto"/>
            </w:tcBorders>
            <w:vAlign w:val="center"/>
          </w:tcPr>
          <w:p w14:paraId="0FBC4DC7" w14:textId="4FF4CEBF" w:rsidR="004120A7" w:rsidRPr="00167A73" w:rsidRDefault="009E6EAA" w:rsidP="00631558">
            <w:r>
              <w:t>R01</w:t>
            </w:r>
            <w:bookmarkStart w:id="0" w:name="_GoBack"/>
            <w:bookmarkEnd w:id="0"/>
          </w:p>
        </w:tc>
        <w:tc>
          <w:tcPr>
            <w:tcW w:w="1352" w:type="dxa"/>
            <w:gridSpan w:val="3"/>
            <w:tcBorders>
              <w:top w:val="nil"/>
              <w:bottom w:val="single" w:sz="4" w:space="0" w:color="auto"/>
            </w:tcBorders>
            <w:vAlign w:val="center"/>
          </w:tcPr>
          <w:p w14:paraId="46007ED8" w14:textId="61162BD6" w:rsidR="004120A7" w:rsidRPr="00167A73" w:rsidRDefault="004120A7" w:rsidP="00631558"/>
        </w:tc>
        <w:tc>
          <w:tcPr>
            <w:tcW w:w="1349" w:type="dxa"/>
            <w:gridSpan w:val="2"/>
            <w:tcBorders>
              <w:top w:val="nil"/>
              <w:bottom w:val="single" w:sz="4" w:space="0" w:color="auto"/>
            </w:tcBorders>
            <w:vAlign w:val="center"/>
          </w:tcPr>
          <w:p w14:paraId="1C0EFD1D" w14:textId="414BF9E3" w:rsidR="004120A7" w:rsidRPr="00167A73" w:rsidRDefault="004120A7" w:rsidP="00631558">
            <w:pPr>
              <w:spacing w:before="40" w:after="40"/>
            </w:pPr>
            <w:r w:rsidRPr="0035585C">
              <w:rPr>
                <w:sz w:val="16"/>
                <w:szCs w:val="16"/>
              </w:rPr>
              <w:t xml:space="preserve">Yes </w:t>
            </w:r>
            <w:r w:rsidR="00086C13">
              <w:rPr>
                <w:sz w:val="16"/>
                <w:szCs w:val="16"/>
              </w:rPr>
              <w:fldChar w:fldCharType="begin">
                <w:ffData>
                  <w:name w:val="Check1"/>
                  <w:enabled/>
                  <w:calcOnExit w:val="0"/>
                  <w:checkBox>
                    <w:sizeAuto/>
                    <w:default w:val="0"/>
                  </w:checkBox>
                </w:ffData>
              </w:fldChar>
            </w:r>
            <w:bookmarkStart w:id="1" w:name="Check1"/>
            <w:r w:rsidR="00086C13">
              <w:rPr>
                <w:sz w:val="16"/>
                <w:szCs w:val="16"/>
              </w:rPr>
              <w:instrText xml:space="preserve"> FORMCHECKBOX </w:instrText>
            </w:r>
            <w:r w:rsidR="009E6EAA">
              <w:rPr>
                <w:sz w:val="16"/>
                <w:szCs w:val="16"/>
              </w:rPr>
            </w:r>
            <w:r w:rsidR="009E6EAA">
              <w:rPr>
                <w:sz w:val="16"/>
                <w:szCs w:val="16"/>
              </w:rPr>
              <w:fldChar w:fldCharType="separate"/>
            </w:r>
            <w:r w:rsidR="00086C13">
              <w:rPr>
                <w:sz w:val="16"/>
                <w:szCs w:val="16"/>
              </w:rPr>
              <w:fldChar w:fldCharType="end"/>
            </w:r>
            <w:bookmarkEnd w:id="1"/>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631558">
              <w:rPr>
                <w:sz w:val="16"/>
                <w:szCs w:val="16"/>
              </w:rPr>
              <w:fldChar w:fldCharType="begin">
                <w:ffData>
                  <w:name w:val="Check2"/>
                  <w:enabled/>
                  <w:calcOnExit w:val="0"/>
                  <w:checkBox>
                    <w:sizeAuto/>
                    <w:default w:val="1"/>
                  </w:checkBox>
                </w:ffData>
              </w:fldChar>
            </w:r>
            <w:bookmarkStart w:id="2" w:name="Check2"/>
            <w:r w:rsidR="00631558">
              <w:rPr>
                <w:sz w:val="16"/>
                <w:szCs w:val="16"/>
              </w:rPr>
              <w:instrText xml:space="preserve"> FORMCHECKBOX </w:instrText>
            </w:r>
            <w:r w:rsidR="009E6EAA">
              <w:rPr>
                <w:sz w:val="16"/>
                <w:szCs w:val="16"/>
              </w:rPr>
            </w:r>
            <w:r w:rsidR="009E6EAA">
              <w:rPr>
                <w:sz w:val="16"/>
                <w:szCs w:val="16"/>
              </w:rPr>
              <w:fldChar w:fldCharType="separate"/>
            </w:r>
            <w:r w:rsidR="00631558">
              <w:rPr>
                <w:sz w:val="16"/>
                <w:szCs w:val="16"/>
              </w:rPr>
              <w:fldChar w:fldCharType="end"/>
            </w:r>
            <w:bookmarkEnd w:id="2"/>
          </w:p>
        </w:tc>
      </w:tr>
      <w:tr w:rsidR="004120A7" w:rsidRPr="002E1CA3" w14:paraId="3C4D39A4" w14:textId="77777777" w:rsidTr="00631558">
        <w:tc>
          <w:tcPr>
            <w:tcW w:w="5405" w:type="dxa"/>
            <w:gridSpan w:val="3"/>
            <w:tcBorders>
              <w:bottom w:val="nil"/>
            </w:tcBorders>
          </w:tcPr>
          <w:p w14:paraId="52E4EDA6" w14:textId="77777777" w:rsidR="004120A7" w:rsidRPr="00F77711" w:rsidRDefault="004120A7" w:rsidP="00631558">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631558">
            <w:pPr>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631558">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631558">
        <w:tc>
          <w:tcPr>
            <w:tcW w:w="5405" w:type="dxa"/>
            <w:gridSpan w:val="3"/>
            <w:tcBorders>
              <w:top w:val="nil"/>
              <w:bottom w:val="single" w:sz="4" w:space="0" w:color="auto"/>
            </w:tcBorders>
            <w:vAlign w:val="center"/>
          </w:tcPr>
          <w:p w14:paraId="79A90B7D" w14:textId="42529C75" w:rsidR="004120A7" w:rsidRPr="00167A73" w:rsidRDefault="003D015D" w:rsidP="00631558">
            <w:r>
              <w:t>Goethe Rd, Sacramento  95827</w:t>
            </w:r>
          </w:p>
        </w:tc>
        <w:tc>
          <w:tcPr>
            <w:tcW w:w="3375" w:type="dxa"/>
            <w:gridSpan w:val="3"/>
            <w:tcBorders>
              <w:top w:val="nil"/>
              <w:bottom w:val="single" w:sz="4" w:space="0" w:color="auto"/>
            </w:tcBorders>
            <w:vAlign w:val="center"/>
          </w:tcPr>
          <w:p w14:paraId="652AAA80" w14:textId="77777777" w:rsidR="004120A7" w:rsidRPr="00167A73" w:rsidRDefault="004120A7" w:rsidP="00631558"/>
        </w:tc>
        <w:tc>
          <w:tcPr>
            <w:tcW w:w="2028" w:type="dxa"/>
            <w:gridSpan w:val="4"/>
            <w:tcBorders>
              <w:top w:val="nil"/>
              <w:bottom w:val="single" w:sz="4" w:space="0" w:color="auto"/>
            </w:tcBorders>
            <w:vAlign w:val="center"/>
          </w:tcPr>
          <w:p w14:paraId="30DBE683" w14:textId="77777777" w:rsidR="004120A7" w:rsidRPr="00167A73" w:rsidRDefault="004120A7" w:rsidP="00631558"/>
        </w:tc>
      </w:tr>
      <w:tr w:rsidR="004120A7" w:rsidRPr="002E1CA3" w14:paraId="3256F39E" w14:textId="77777777" w:rsidTr="00631558">
        <w:tc>
          <w:tcPr>
            <w:tcW w:w="10808" w:type="dxa"/>
            <w:gridSpan w:val="10"/>
            <w:tcBorders>
              <w:bottom w:val="single" w:sz="4" w:space="0" w:color="auto"/>
            </w:tcBorders>
            <w:shd w:val="clear" w:color="auto" w:fill="A6A6A6" w:themeFill="background1" w:themeFillShade="A6"/>
          </w:tcPr>
          <w:p w14:paraId="181D2D13" w14:textId="158508A0" w:rsidR="004120A7" w:rsidRPr="00841BA4" w:rsidRDefault="004120A7" w:rsidP="00631558">
            <w:pPr>
              <w:jc w:val="both"/>
              <w:rPr>
                <w:b/>
              </w:rPr>
            </w:pPr>
            <w:r w:rsidRPr="00841BA4">
              <w:rPr>
                <w:b/>
              </w:rPr>
              <w:t>CDCR’S MISSION</w:t>
            </w:r>
            <w:r w:rsidR="00632FF7" w:rsidRPr="00841BA4">
              <w:rPr>
                <w:b/>
              </w:rPr>
              <w:t xml:space="preserve"> and VISION</w:t>
            </w:r>
          </w:p>
        </w:tc>
      </w:tr>
      <w:tr w:rsidR="004120A7" w:rsidRPr="002E1CA3" w14:paraId="6408DA42" w14:textId="77777777" w:rsidTr="00631558">
        <w:tc>
          <w:tcPr>
            <w:tcW w:w="10808" w:type="dxa"/>
            <w:gridSpan w:val="10"/>
            <w:tcBorders>
              <w:top w:val="nil"/>
              <w:bottom w:val="single" w:sz="4" w:space="0" w:color="auto"/>
            </w:tcBorders>
          </w:tcPr>
          <w:p w14:paraId="27463B36" w14:textId="272B6EA6" w:rsidR="004120A7" w:rsidRPr="00841BA4" w:rsidRDefault="00632FF7" w:rsidP="00631558">
            <w:pPr>
              <w:jc w:val="both"/>
              <w:rPr>
                <w:rFonts w:cstheme="minorHAnsi"/>
              </w:rPr>
            </w:pPr>
            <w:r w:rsidRPr="00841BA4">
              <w:rPr>
                <w:rFonts w:cstheme="minorHAnsi"/>
                <w:b/>
                <w:bCs/>
              </w:rPr>
              <w:t>Mission</w:t>
            </w:r>
            <w:r w:rsidR="004871ED" w:rsidRPr="00841BA4">
              <w:rPr>
                <w:rFonts w:cstheme="minorHAnsi"/>
                <w:b/>
                <w:bCs/>
              </w:rPr>
              <w:t xml:space="preserve"> - </w:t>
            </w:r>
            <w:r w:rsidR="004120A7" w:rsidRPr="00841BA4">
              <w:rPr>
                <w:rFonts w:cstheme="minorHAnsi"/>
              </w:rPr>
              <w:t>We enhance public safety through safe and secure incarceration of offenders, effective parole supervision, and rehabilitative strategies to successfully reintegrate offenders into our communities.</w:t>
            </w:r>
          </w:p>
          <w:p w14:paraId="4CCCB356" w14:textId="277C1431" w:rsidR="00632FF7" w:rsidRPr="00841BA4" w:rsidRDefault="00632FF7" w:rsidP="00631558">
            <w:pPr>
              <w:jc w:val="both"/>
            </w:pPr>
            <w:r w:rsidRPr="00841BA4">
              <w:rPr>
                <w:rFonts w:cstheme="minorHAnsi"/>
                <w:b/>
                <w:bCs/>
              </w:rPr>
              <w:t>Vision</w:t>
            </w:r>
            <w:r w:rsidR="004871ED" w:rsidRPr="00841BA4">
              <w:rPr>
                <w:rFonts w:cstheme="minorHAnsi"/>
                <w:b/>
                <w:bCs/>
              </w:rPr>
              <w:t xml:space="preserve"> - </w:t>
            </w:r>
            <w:r w:rsidR="00F667B8" w:rsidRPr="00841BA4">
              <w:rPr>
                <w:rFonts w:cstheme="minorHAnsi"/>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631558">
        <w:tc>
          <w:tcPr>
            <w:tcW w:w="10808" w:type="dxa"/>
            <w:gridSpan w:val="10"/>
            <w:tcBorders>
              <w:bottom w:val="single" w:sz="4" w:space="0" w:color="auto"/>
            </w:tcBorders>
            <w:shd w:val="clear" w:color="auto" w:fill="A6A6A6" w:themeFill="background1" w:themeFillShade="A6"/>
          </w:tcPr>
          <w:p w14:paraId="42AA0505" w14:textId="3291D27A" w:rsidR="004120A7" w:rsidRPr="00841BA4" w:rsidRDefault="004120A7" w:rsidP="00631558">
            <w:pPr>
              <w:jc w:val="both"/>
              <w:rPr>
                <w:b/>
              </w:rPr>
            </w:pPr>
            <w:r w:rsidRPr="00841BA4">
              <w:rPr>
                <w:b/>
              </w:rPr>
              <w:t>COMMITMENT TO DIVERSITY</w:t>
            </w:r>
            <w:r w:rsidR="001A39AE" w:rsidRPr="00841BA4">
              <w:rPr>
                <w:b/>
              </w:rPr>
              <w:t xml:space="preserve">, </w:t>
            </w:r>
            <w:r w:rsidR="00FA58E7" w:rsidRPr="00841BA4">
              <w:rPr>
                <w:b/>
              </w:rPr>
              <w:t>EQUITY,</w:t>
            </w:r>
            <w:r w:rsidRPr="00841BA4">
              <w:rPr>
                <w:b/>
              </w:rPr>
              <w:t xml:space="preserve"> AND INCLUSION</w:t>
            </w:r>
          </w:p>
        </w:tc>
      </w:tr>
      <w:tr w:rsidR="004120A7" w:rsidRPr="004120A7" w14:paraId="0179DC12" w14:textId="77777777" w:rsidTr="00631558">
        <w:tc>
          <w:tcPr>
            <w:tcW w:w="10808" w:type="dxa"/>
            <w:gridSpan w:val="10"/>
            <w:tcBorders>
              <w:top w:val="nil"/>
              <w:bottom w:val="single" w:sz="4" w:space="0" w:color="auto"/>
            </w:tcBorders>
          </w:tcPr>
          <w:p w14:paraId="0D153408" w14:textId="77777777" w:rsidR="007B2B75" w:rsidRPr="00841BA4" w:rsidRDefault="00AA247F" w:rsidP="00631558">
            <w:pPr>
              <w:jc w:val="both"/>
              <w:rPr>
                <w:rFonts w:cstheme="minorHAnsi"/>
              </w:rPr>
            </w:pPr>
            <w:r w:rsidRPr="00841BA4">
              <w:rPr>
                <w:rFonts w:cstheme="minorHAnsi"/>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631558">
        <w:tc>
          <w:tcPr>
            <w:tcW w:w="10808" w:type="dxa"/>
            <w:gridSpan w:val="10"/>
            <w:tcBorders>
              <w:bottom w:val="single" w:sz="4" w:space="0" w:color="auto"/>
            </w:tcBorders>
            <w:shd w:val="clear" w:color="auto" w:fill="A6A6A6" w:themeFill="background1" w:themeFillShade="A6"/>
          </w:tcPr>
          <w:p w14:paraId="3AFC44C1" w14:textId="77777777" w:rsidR="004120A7" w:rsidRPr="00841BA4" w:rsidRDefault="004120A7" w:rsidP="00631558">
            <w:pPr>
              <w:rPr>
                <w:b/>
              </w:rPr>
            </w:pPr>
            <w:r w:rsidRPr="00841BA4">
              <w:rPr>
                <w:b/>
              </w:rPr>
              <w:t>DIVISION OVERVIEW</w:t>
            </w:r>
          </w:p>
        </w:tc>
      </w:tr>
      <w:tr w:rsidR="004120A7" w:rsidRPr="00F77711" w14:paraId="206E4E14" w14:textId="77777777" w:rsidTr="00631558">
        <w:trPr>
          <w:trHeight w:val="1367"/>
        </w:trPr>
        <w:tc>
          <w:tcPr>
            <w:tcW w:w="10808" w:type="dxa"/>
            <w:gridSpan w:val="10"/>
            <w:tcBorders>
              <w:top w:val="single" w:sz="4" w:space="0" w:color="auto"/>
              <w:left w:val="single" w:sz="4" w:space="0" w:color="auto"/>
              <w:bottom w:val="nil"/>
              <w:right w:val="single" w:sz="4" w:space="0" w:color="auto"/>
            </w:tcBorders>
          </w:tcPr>
          <w:p w14:paraId="3D768F31" w14:textId="12947249" w:rsidR="003D015D" w:rsidRPr="005B2D19" w:rsidRDefault="003D015D" w:rsidP="00631558">
            <w:r w:rsidRPr="005B2D19">
              <w:t>Office of Peace Officer Selection</w:t>
            </w:r>
            <w:r w:rsidR="00F5733A">
              <w:t xml:space="preserve"> (OPOS)</w:t>
            </w:r>
            <w:r w:rsidRPr="005B2D19">
              <w:t xml:space="preserve"> – Conducts recruitment, testing (written and physical fitness testing), background investigations including Live Scan, and psychological and medical screening for all peace officer applicants with the Department, including: </w:t>
            </w:r>
          </w:p>
          <w:p w14:paraId="08601D73" w14:textId="77777777" w:rsidR="003D015D" w:rsidRPr="005B2D19" w:rsidRDefault="003D015D" w:rsidP="00631558">
            <w:pPr>
              <w:numPr>
                <w:ilvl w:val="0"/>
                <w:numId w:val="3"/>
              </w:numPr>
              <w:rPr>
                <w:rFonts w:eastAsia="Times New Roman"/>
              </w:rPr>
            </w:pPr>
            <w:r w:rsidRPr="005B2D19">
              <w:rPr>
                <w:rFonts w:eastAsia="Times New Roman"/>
              </w:rPr>
              <w:t>Entry-level peace officers</w:t>
            </w:r>
          </w:p>
          <w:p w14:paraId="6A5685AA" w14:textId="77777777" w:rsidR="003D015D" w:rsidRPr="005B2D19" w:rsidRDefault="003D015D" w:rsidP="00631558">
            <w:pPr>
              <w:numPr>
                <w:ilvl w:val="0"/>
                <w:numId w:val="3"/>
              </w:numPr>
              <w:rPr>
                <w:rFonts w:eastAsia="Times New Roman"/>
              </w:rPr>
            </w:pPr>
            <w:r w:rsidRPr="005B2D19">
              <w:rPr>
                <w:rFonts w:eastAsia="Times New Roman"/>
              </w:rPr>
              <w:t>Individual Service Request</w:t>
            </w:r>
          </w:p>
          <w:p w14:paraId="1452B024" w14:textId="66607125" w:rsidR="003D015D" w:rsidRDefault="003D015D" w:rsidP="00631558">
            <w:pPr>
              <w:numPr>
                <w:ilvl w:val="0"/>
                <w:numId w:val="3"/>
              </w:numPr>
              <w:rPr>
                <w:rFonts w:eastAsia="Times New Roman"/>
              </w:rPr>
            </w:pPr>
            <w:r w:rsidRPr="005B2D19">
              <w:rPr>
                <w:rFonts w:eastAsia="Times New Roman"/>
              </w:rPr>
              <w:t>Re-instatement</w:t>
            </w:r>
          </w:p>
          <w:p w14:paraId="74CABAD4" w14:textId="6089D2B8" w:rsidR="004120A7" w:rsidRPr="003D015D" w:rsidRDefault="003D015D" w:rsidP="00631558">
            <w:pPr>
              <w:numPr>
                <w:ilvl w:val="0"/>
                <w:numId w:val="3"/>
              </w:numPr>
              <w:rPr>
                <w:rFonts w:eastAsia="Times New Roman"/>
              </w:rPr>
            </w:pPr>
            <w:r>
              <w:rPr>
                <w:rFonts w:eastAsia="Times New Roman"/>
              </w:rPr>
              <w:t>Outside agency peace officers</w:t>
            </w:r>
          </w:p>
        </w:tc>
      </w:tr>
      <w:tr w:rsidR="002E1CA3" w:rsidRPr="002E1CA3" w14:paraId="0E11BCC8" w14:textId="77777777" w:rsidTr="00631558">
        <w:tc>
          <w:tcPr>
            <w:tcW w:w="10808" w:type="dxa"/>
            <w:gridSpan w:val="10"/>
            <w:tcBorders>
              <w:bottom w:val="single" w:sz="4" w:space="0" w:color="auto"/>
            </w:tcBorders>
            <w:shd w:val="clear" w:color="auto" w:fill="A6A6A6" w:themeFill="background1" w:themeFillShade="A6"/>
          </w:tcPr>
          <w:p w14:paraId="7184C8A1" w14:textId="77777777" w:rsidR="00F20EC9" w:rsidRPr="00841BA4" w:rsidRDefault="00F20EC9" w:rsidP="00631558">
            <w:pPr>
              <w:rPr>
                <w:b/>
              </w:rPr>
            </w:pPr>
            <w:r w:rsidRPr="00841BA4">
              <w:rPr>
                <w:b/>
              </w:rPr>
              <w:t>GENERAL STATEMENT</w:t>
            </w:r>
          </w:p>
        </w:tc>
      </w:tr>
      <w:tr w:rsidR="002E1CA3" w:rsidRPr="002E1CA3" w14:paraId="5CB118F8" w14:textId="77777777" w:rsidTr="00631558">
        <w:tc>
          <w:tcPr>
            <w:tcW w:w="10808" w:type="dxa"/>
            <w:gridSpan w:val="10"/>
            <w:tcBorders>
              <w:top w:val="nil"/>
              <w:bottom w:val="single" w:sz="4" w:space="0" w:color="auto"/>
            </w:tcBorders>
          </w:tcPr>
          <w:p w14:paraId="54FF2EBE" w14:textId="117E24A1" w:rsidR="003579A0" w:rsidRPr="00631558" w:rsidRDefault="00631558" w:rsidP="00631558">
            <w:pPr>
              <w:jc w:val="both"/>
              <w:rPr>
                <w:rFonts w:cstheme="minorHAnsi"/>
              </w:rPr>
            </w:pPr>
            <w:r w:rsidRPr="005946A3">
              <w:rPr>
                <w:rFonts w:cstheme="minorHAnsi"/>
              </w:rPr>
              <w:t>Under the supervision of the Staff Services Manager I (SSMI), the Staff Services Analyst, General (SSA) is the primary resource for performing a variety of assignments that require entry and first-level computer analysis skills and familiarity with basic data structures. The SSA performs a variety of entry level analytical and technical duties.  The incumbent provides analytical support to the Office of Peace Officer Selection (OPOS) staff relative to the daily operation of the Background Investigation Unit (BIU).  The SSA will operate congruently within organizational culture, values, and vision.  The SSA will support and promote a positive work environment and productive relationships with all staff and stakeholders of the California Department of Corrections and Rehabilitation (CDCR) in an ethical and professional manner.  Duties include but are not limited to:</w:t>
            </w:r>
          </w:p>
        </w:tc>
      </w:tr>
      <w:tr w:rsidR="002E1CA3" w:rsidRPr="002E1CA3" w14:paraId="63CD6B82" w14:textId="77777777" w:rsidTr="00631558">
        <w:tc>
          <w:tcPr>
            <w:tcW w:w="1437"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631558">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631558">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C76462" w:rsidRPr="002E1CA3" w14:paraId="258ED70A" w14:textId="77777777" w:rsidTr="00631558">
        <w:tc>
          <w:tcPr>
            <w:tcW w:w="1437" w:type="dxa"/>
          </w:tcPr>
          <w:p w14:paraId="5AA25675" w14:textId="58D88978" w:rsidR="00C76462" w:rsidRPr="00841BA4" w:rsidRDefault="00631558" w:rsidP="00631558">
            <w:pPr>
              <w:jc w:val="center"/>
              <w:rPr>
                <w:rFonts w:cstheme="minorHAnsi"/>
              </w:rPr>
            </w:pPr>
            <w:r>
              <w:t>40</w:t>
            </w:r>
            <w:r w:rsidR="003579A0">
              <w:t>%</w:t>
            </w:r>
          </w:p>
        </w:tc>
        <w:tc>
          <w:tcPr>
            <w:tcW w:w="9371" w:type="dxa"/>
            <w:gridSpan w:val="9"/>
          </w:tcPr>
          <w:p w14:paraId="20DBA67D" w14:textId="6C3CE00B" w:rsidR="003D015D" w:rsidRPr="003D015D" w:rsidRDefault="00631558" w:rsidP="00631558">
            <w:pPr>
              <w:ind w:right="346"/>
              <w:jc w:val="both"/>
              <w:rPr>
                <w:rFonts w:cstheme="minorHAnsi"/>
              </w:rPr>
            </w:pPr>
            <w:r w:rsidRPr="005946A3">
              <w:rPr>
                <w:rFonts w:cstheme="minorHAnsi"/>
              </w:rPr>
              <w:t>Assist with creating queries for the OPOS in the Tree and other databases, performs a variety of tasks that support the BIU applicant Electronic Statement of Personal History (</w:t>
            </w:r>
            <w:proofErr w:type="spellStart"/>
            <w:r w:rsidRPr="005946A3">
              <w:rPr>
                <w:rFonts w:cstheme="minorHAnsi"/>
              </w:rPr>
              <w:t>eSOPH</w:t>
            </w:r>
            <w:proofErr w:type="spellEnd"/>
            <w:r w:rsidRPr="005946A3">
              <w:rPr>
                <w:rFonts w:cstheme="minorHAnsi"/>
              </w:rPr>
              <w:t xml:space="preserve">) system including maintaining and configuring applicants’ access into the system, help desk support, troubleshooting, and create and provide data reports on an as needed basis. Conducts data analysis using multiple approaches to evaluate and analyze data related to candidate application and processing; and act as a liaison for intake requests for complex data reports for the OPOS. On a regular basis, incumbent completes assignments involving multiple tasks, single significant functions, or multiple data processing functions. Includes writing reports, developing detailed specifications, analyzing data and situations, reasoning logically and creatively, developing solutions, and documenting procedures and programs. Preparation and maintenance of Microsoft </w:t>
            </w:r>
            <w:r w:rsidRPr="005946A3">
              <w:rPr>
                <w:rFonts w:cstheme="minorHAnsi"/>
              </w:rPr>
              <w:lastRenderedPageBreak/>
              <w:t>Excel spreadsheets, pivot tables,  tracking sheets, Microsoft Access databases, forms development, web based server reports, such as; Total Production Summary, Testing unit, Recruitment unit, BIU clearance rate and other documents related to Correctional Officer, Youth Correctional Officer, Youth Correctional Counselor and Parole Agent I, (Adult Parole) candidate processing.  Coordinate the development of educational and informational tools utilized during the peace officer selection process as well as training tools utilized for staff development within the unit.  Assist staff and management on various specialized projects.</w:t>
            </w:r>
          </w:p>
        </w:tc>
      </w:tr>
      <w:tr w:rsidR="00C76462" w:rsidRPr="002E1CA3" w14:paraId="72E656C1" w14:textId="77777777" w:rsidTr="00631558">
        <w:trPr>
          <w:trHeight w:val="1142"/>
        </w:trPr>
        <w:tc>
          <w:tcPr>
            <w:tcW w:w="1437" w:type="dxa"/>
          </w:tcPr>
          <w:p w14:paraId="6B8BE470" w14:textId="02A5FF0F" w:rsidR="00C76462" w:rsidRPr="00841BA4" w:rsidRDefault="00631558" w:rsidP="00631558">
            <w:pPr>
              <w:jc w:val="center"/>
              <w:rPr>
                <w:rFonts w:cstheme="minorHAnsi"/>
              </w:rPr>
            </w:pPr>
            <w:r>
              <w:lastRenderedPageBreak/>
              <w:t>25</w:t>
            </w:r>
            <w:r w:rsidR="003D015D">
              <w:t>%</w:t>
            </w:r>
          </w:p>
        </w:tc>
        <w:tc>
          <w:tcPr>
            <w:tcW w:w="9371" w:type="dxa"/>
            <w:gridSpan w:val="9"/>
          </w:tcPr>
          <w:p w14:paraId="361F8962" w14:textId="2C688FA2" w:rsidR="002237E2" w:rsidRPr="00631558" w:rsidRDefault="00631558" w:rsidP="00631558">
            <w:pPr>
              <w:ind w:right="346"/>
              <w:jc w:val="both"/>
              <w:rPr>
                <w:rFonts w:cstheme="minorHAnsi"/>
              </w:rPr>
            </w:pPr>
            <w:r w:rsidRPr="005946A3">
              <w:rPr>
                <w:rFonts w:cstheme="minorHAnsi"/>
              </w:rPr>
              <w:t>Assist with evaluation and investigation of file disclosure requests made by internal CDCR offices, external agencies, and/or peace officer applicants. Use judgment to interpret and consistently apply statues, regulations, policy and procedures to ensure disclosed information is in compliance with: the Information Practices Act, the BIU Disclosure Procedures Manual, applicable statutes, regulations, policies, and guidelines. Assist in formulating responses to requesting agency when information is not approved for disclosure. Utilize and maintain multiple BIU and archive databases to ensure BIU files are archived, retrieved, retained, and destroyed according to OPOS records retention schedule and are in compliance with applicable statutes, regulations, policies, and guidelines. Function as back-up Records Liaison between BIU, State Records Center (SRC) and the CDCR State Records Coordinator on issues related to the BIU file retention and retrieval. Assist with coordinating and monitoring law enforcement agency staff during file review ensuring disclosure protocol for reviewing the file is conducted appropriately.</w:t>
            </w:r>
          </w:p>
        </w:tc>
      </w:tr>
      <w:tr w:rsidR="00C76462" w:rsidRPr="002E1CA3" w14:paraId="479EE26F" w14:textId="77777777" w:rsidTr="00631558">
        <w:trPr>
          <w:trHeight w:val="917"/>
        </w:trPr>
        <w:tc>
          <w:tcPr>
            <w:tcW w:w="1437" w:type="dxa"/>
          </w:tcPr>
          <w:p w14:paraId="099B285F" w14:textId="4E5C8179" w:rsidR="00C76462" w:rsidRPr="00841BA4" w:rsidRDefault="00631558" w:rsidP="00631558">
            <w:pPr>
              <w:jc w:val="center"/>
              <w:rPr>
                <w:rFonts w:cstheme="minorHAnsi"/>
              </w:rPr>
            </w:pPr>
            <w:r>
              <w:t>20</w:t>
            </w:r>
            <w:r w:rsidR="003D015D">
              <w:t>%</w:t>
            </w:r>
          </w:p>
        </w:tc>
        <w:tc>
          <w:tcPr>
            <w:tcW w:w="9371" w:type="dxa"/>
            <w:gridSpan w:val="9"/>
          </w:tcPr>
          <w:p w14:paraId="048D9BCE" w14:textId="7D591618" w:rsidR="00B6474A" w:rsidRPr="00631558" w:rsidRDefault="00631558" w:rsidP="00631558">
            <w:pPr>
              <w:ind w:right="346"/>
              <w:jc w:val="both"/>
              <w:rPr>
                <w:rFonts w:cstheme="minorHAnsi"/>
              </w:rPr>
            </w:pPr>
            <w:r w:rsidRPr="005946A3">
              <w:rPr>
                <w:rFonts w:cstheme="minorHAnsi"/>
              </w:rPr>
              <w:t>Assist with responding to State Personnel Board (SPB) Appeals initiated by peace officer applicants withheld during the background investigation process. Maintain a log/tracking system for SPB appeal notices. Formulate responses to the SPB analyst requesting additional information for the appeal. Under supervision, review and analyze requested documents and ensure disclosure requirements are consistently followed. Maintain confidentiality of all background investigation files.</w:t>
            </w:r>
          </w:p>
        </w:tc>
      </w:tr>
      <w:tr w:rsidR="00631558" w:rsidRPr="002E1CA3" w14:paraId="046CFA69" w14:textId="77777777" w:rsidTr="00631558">
        <w:trPr>
          <w:trHeight w:val="917"/>
        </w:trPr>
        <w:tc>
          <w:tcPr>
            <w:tcW w:w="1437" w:type="dxa"/>
          </w:tcPr>
          <w:p w14:paraId="2EA978DA" w14:textId="52978817" w:rsidR="00631558" w:rsidRDefault="00631558" w:rsidP="00631558">
            <w:pPr>
              <w:jc w:val="center"/>
            </w:pPr>
            <w:r>
              <w:t>10%</w:t>
            </w:r>
          </w:p>
        </w:tc>
        <w:tc>
          <w:tcPr>
            <w:tcW w:w="9371" w:type="dxa"/>
            <w:gridSpan w:val="9"/>
          </w:tcPr>
          <w:p w14:paraId="368E194A" w14:textId="4B62396B" w:rsidR="00631558" w:rsidRPr="005946A3" w:rsidRDefault="00631558" w:rsidP="00631558">
            <w:pPr>
              <w:ind w:right="346"/>
              <w:jc w:val="both"/>
              <w:rPr>
                <w:rFonts w:cstheme="minorHAnsi"/>
              </w:rPr>
            </w:pPr>
            <w:r w:rsidRPr="005946A3">
              <w:rPr>
                <w:rFonts w:cstheme="minorHAnsi"/>
              </w:rPr>
              <w:t xml:space="preserve">Assist in conducting peace officer applicant Personal History Update (PHU) phone interviews.  Cross-check all information provided by peace officer applicants during the PHU phone interview with initial information provided in the applicant’s background investigation report.  Evaluate and document the findings of negative, discrepant, missing, and/or significant information provided by the applicants during the PHU phone interview.  Report and consult with BIU staff regarding pertinent PHU interview findings.  Assess background documents in order to conduct analysis of PHUs, including auditing applicant’s background documents for any changes/updates to ensure all required investigative documents are up-to-date and accurate for submission to the Senior Investigator for review prior to academy assignment.  Research multiple databases in order to provide peace officer applicants with requested information and to research for discrepancies with selection component documentation.  </w:t>
            </w:r>
          </w:p>
        </w:tc>
      </w:tr>
      <w:tr w:rsidR="00C76462" w:rsidRPr="002E1CA3" w14:paraId="1B459889" w14:textId="77777777" w:rsidTr="00631558">
        <w:trPr>
          <w:trHeight w:val="1052"/>
        </w:trPr>
        <w:tc>
          <w:tcPr>
            <w:tcW w:w="1437" w:type="dxa"/>
          </w:tcPr>
          <w:p w14:paraId="7F4B3721" w14:textId="1C7BE837" w:rsidR="00C76462" w:rsidRPr="00841BA4" w:rsidRDefault="00FA3365" w:rsidP="00631558">
            <w:pPr>
              <w:jc w:val="center"/>
              <w:rPr>
                <w:rFonts w:cstheme="minorHAnsi"/>
              </w:rPr>
            </w:pPr>
            <w:r>
              <w:t>5</w:t>
            </w:r>
            <w:r w:rsidR="003D015D">
              <w:t>%</w:t>
            </w:r>
          </w:p>
        </w:tc>
        <w:tc>
          <w:tcPr>
            <w:tcW w:w="9371" w:type="dxa"/>
            <w:gridSpan w:val="9"/>
          </w:tcPr>
          <w:p w14:paraId="038EE075" w14:textId="78A4C446" w:rsidR="00C76462" w:rsidRPr="00631558" w:rsidRDefault="003D015D" w:rsidP="00631558">
            <w:pPr>
              <w:ind w:right="342"/>
              <w:jc w:val="both"/>
              <w:rPr>
                <w:rFonts w:cstheme="minorHAnsi"/>
              </w:rPr>
            </w:pPr>
            <w:r w:rsidRPr="005B2D19">
              <w:rPr>
                <w:rFonts w:cs="Arial"/>
              </w:rPr>
              <w:t>Perform administrative duties including, but not limited to: adhere to Department policies, rules and procedures; submit administrative requests including leave, travel, and training in a timely and appropriate manner; accurately report time, and subm</w:t>
            </w:r>
            <w:r w:rsidR="003579A0">
              <w:rPr>
                <w:rFonts w:cs="Arial"/>
              </w:rPr>
              <w:t>it timesheets by the due date.</w:t>
            </w:r>
            <w:r w:rsidR="00631558" w:rsidRPr="005946A3">
              <w:rPr>
                <w:rFonts w:cstheme="minorHAnsi"/>
              </w:rPr>
              <w:t xml:space="preserve"> Serve as backup to other BIU analytical staff as needed for background investigations. Other job related duties as assigned.</w:t>
            </w:r>
            <w:r w:rsidR="00631558">
              <w:rPr>
                <w:rFonts w:cs="Arial"/>
              </w:rPr>
              <w:t xml:space="preserve">  </w:t>
            </w:r>
            <w:r w:rsidR="003579A0">
              <w:rPr>
                <w:rFonts w:cs="Arial"/>
              </w:rPr>
              <w:t xml:space="preserve"> </w:t>
            </w:r>
          </w:p>
        </w:tc>
      </w:tr>
      <w:tr w:rsidR="005072F6" w:rsidRPr="002E1CA3" w14:paraId="0B4A178A" w14:textId="77777777" w:rsidTr="00631558">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5072F6" w:rsidRPr="00841BA4" w:rsidRDefault="005072F6" w:rsidP="00631558">
            <w:pPr>
              <w:jc w:val="both"/>
              <w:rPr>
                <w:rFonts w:cstheme="minorHAnsi"/>
                <w:b/>
              </w:rPr>
            </w:pPr>
            <w:r w:rsidRPr="00841BA4">
              <w:rPr>
                <w:rFonts w:cstheme="minorHAnsi"/>
                <w:b/>
              </w:rPr>
              <w:t>SPECIAL REQUIREMENTS</w:t>
            </w:r>
          </w:p>
        </w:tc>
      </w:tr>
      <w:tr w:rsidR="005072F6" w:rsidRPr="002E1CA3" w14:paraId="262A4351" w14:textId="77777777" w:rsidTr="00631558">
        <w:tc>
          <w:tcPr>
            <w:tcW w:w="10808" w:type="dxa"/>
            <w:gridSpan w:val="10"/>
            <w:tcBorders>
              <w:top w:val="single" w:sz="4" w:space="0" w:color="auto"/>
              <w:bottom w:val="single" w:sz="4" w:space="0" w:color="auto"/>
            </w:tcBorders>
            <w:shd w:val="clear" w:color="auto" w:fill="auto"/>
          </w:tcPr>
          <w:p w14:paraId="3475CC45" w14:textId="77777777" w:rsidR="005072F6" w:rsidRPr="00841BA4" w:rsidRDefault="005072F6" w:rsidP="00631558">
            <w:pPr>
              <w:numPr>
                <w:ilvl w:val="0"/>
                <w:numId w:val="1"/>
              </w:numPr>
              <w:tabs>
                <w:tab w:val="left" w:pos="342"/>
                <w:tab w:val="right" w:pos="10620"/>
              </w:tabs>
              <w:jc w:val="both"/>
              <w:rPr>
                <w:rFonts w:cstheme="minorHAnsi"/>
                <w:b/>
              </w:rPr>
            </w:pPr>
            <w:r w:rsidRPr="00841BA4">
              <w:rPr>
                <w:rFonts w:cstheme="minorHAnsi"/>
              </w:rPr>
              <w:t>CDCR does not recognize hostages for bargaining purposes. CDCR has a "NO HOSTAGE" policy and all prison inmates, visitors, nonemployees and employees shall be made aware of this.</w:t>
            </w:r>
          </w:p>
        </w:tc>
      </w:tr>
      <w:tr w:rsidR="005072F6" w:rsidRPr="002E1CA3" w14:paraId="7EB1F123" w14:textId="77777777" w:rsidTr="00631558">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5072F6" w:rsidRPr="00841BA4" w:rsidRDefault="005072F6" w:rsidP="00631558">
            <w:pPr>
              <w:tabs>
                <w:tab w:val="left" w:pos="342"/>
                <w:tab w:val="right" w:pos="10620"/>
              </w:tabs>
              <w:jc w:val="both"/>
              <w:rPr>
                <w:rFonts w:cstheme="minorHAnsi"/>
                <w:b/>
                <w:bCs/>
              </w:rPr>
            </w:pPr>
            <w:r w:rsidRPr="00841BA4">
              <w:rPr>
                <w:rFonts w:cstheme="minorHAnsi"/>
                <w:b/>
                <w:bCs/>
              </w:rPr>
              <w:t>CONSEQUENCE OF ERROR</w:t>
            </w:r>
          </w:p>
        </w:tc>
      </w:tr>
      <w:tr w:rsidR="005072F6" w:rsidRPr="002E1CA3" w14:paraId="4BFE5B42" w14:textId="77777777" w:rsidTr="00631558">
        <w:tc>
          <w:tcPr>
            <w:tcW w:w="10808" w:type="dxa"/>
            <w:gridSpan w:val="10"/>
            <w:tcBorders>
              <w:top w:val="single" w:sz="4" w:space="0" w:color="auto"/>
              <w:bottom w:val="single" w:sz="4" w:space="0" w:color="auto"/>
            </w:tcBorders>
            <w:shd w:val="clear" w:color="auto" w:fill="auto"/>
          </w:tcPr>
          <w:p w14:paraId="0B7CC0D5" w14:textId="646AC389" w:rsidR="005072F6" w:rsidRPr="00841BA4" w:rsidRDefault="005072F6" w:rsidP="00631558">
            <w:pPr>
              <w:pStyle w:val="ListParagraph"/>
              <w:numPr>
                <w:ilvl w:val="0"/>
                <w:numId w:val="1"/>
              </w:numPr>
              <w:tabs>
                <w:tab w:val="left" w:pos="342"/>
                <w:tab w:val="right" w:pos="10620"/>
              </w:tabs>
              <w:jc w:val="both"/>
              <w:rPr>
                <w:rFonts w:cstheme="minorHAnsi"/>
              </w:rPr>
            </w:pPr>
            <w:r w:rsidRPr="00841BA4">
              <w:rPr>
                <w:rFonts w:cstheme="minorHAnsi"/>
              </w:rPr>
              <w:t>Consequences of error may result in loss of time and could cause significant delays in program production. Such delays can result in inefficient use or misdirection of department resources resulting in the inability to meet efficiency and time line goals, and varying degrees of negative financial impacts to the department.</w:t>
            </w:r>
          </w:p>
        </w:tc>
      </w:tr>
      <w:tr w:rsidR="005072F6" w:rsidRPr="002E1CA3" w14:paraId="4E62C0DF" w14:textId="77777777" w:rsidTr="00631558">
        <w:tc>
          <w:tcPr>
            <w:tcW w:w="10808" w:type="dxa"/>
            <w:gridSpan w:val="10"/>
            <w:tcBorders>
              <w:bottom w:val="single" w:sz="4" w:space="0" w:color="auto"/>
            </w:tcBorders>
            <w:shd w:val="clear" w:color="auto" w:fill="A6A6A6" w:themeFill="background1" w:themeFillShade="A6"/>
          </w:tcPr>
          <w:p w14:paraId="3E654282" w14:textId="2A107570" w:rsidR="005072F6" w:rsidRPr="002E1CA3" w:rsidRDefault="00841BA4" w:rsidP="00631558">
            <w:pPr>
              <w:jc w:val="center"/>
              <w:rPr>
                <w:b/>
                <w:sz w:val="24"/>
                <w:szCs w:val="24"/>
              </w:rPr>
            </w:pPr>
            <w:r>
              <w:rPr>
                <w:b/>
                <w:sz w:val="24"/>
                <w:szCs w:val="24"/>
              </w:rPr>
              <w:t>TO BE REVIEWED AND SIGNED BY SUPERVISOR AND EMPLOYEE:</w:t>
            </w:r>
          </w:p>
          <w:p w14:paraId="4DB54506" w14:textId="77777777" w:rsidR="005072F6" w:rsidRPr="00B6474A" w:rsidRDefault="005072F6" w:rsidP="00631558">
            <w:pPr>
              <w:rPr>
                <w:b/>
                <w:sz w:val="20"/>
                <w:szCs w:val="16"/>
              </w:rPr>
            </w:pPr>
            <w:r w:rsidRPr="00B6474A">
              <w:rPr>
                <w:b/>
                <w:sz w:val="20"/>
                <w:szCs w:val="16"/>
              </w:rPr>
              <w:t>EMPLOYEE’S STATEMENT:</w:t>
            </w:r>
          </w:p>
          <w:p w14:paraId="3E25E22D" w14:textId="77777777" w:rsidR="005072F6" w:rsidRPr="002E1CA3" w:rsidRDefault="005072F6" w:rsidP="00631558">
            <w:pPr>
              <w:pStyle w:val="ListParagraph"/>
              <w:numPr>
                <w:ilvl w:val="0"/>
                <w:numId w:val="2"/>
              </w:numPr>
              <w:rPr>
                <w:i/>
                <w:sz w:val="24"/>
                <w:szCs w:val="24"/>
              </w:rPr>
            </w:pPr>
            <w:r w:rsidRPr="002E1CA3">
              <w:rPr>
                <w:i/>
                <w:sz w:val="16"/>
                <w:szCs w:val="16"/>
              </w:rPr>
              <w:lastRenderedPageBreak/>
              <w:t>I HAVE DISCUSSED THE DUTIES AND RESPONSIBILITIES OF THE POSITION WITH MY SUPERVISOR AND RECEIVED A COPY OF THIS DUTY STATEMENT.</w:t>
            </w:r>
          </w:p>
        </w:tc>
      </w:tr>
      <w:tr w:rsidR="005072F6" w:rsidRPr="00F77711" w14:paraId="45BDFC35" w14:textId="77777777" w:rsidTr="00631558">
        <w:tc>
          <w:tcPr>
            <w:tcW w:w="4497" w:type="dxa"/>
            <w:gridSpan w:val="2"/>
            <w:tcBorders>
              <w:bottom w:val="nil"/>
            </w:tcBorders>
          </w:tcPr>
          <w:p w14:paraId="3D8E13C3" w14:textId="77777777" w:rsidR="005072F6" w:rsidRPr="00F77711" w:rsidRDefault="005072F6" w:rsidP="00631558">
            <w:pPr>
              <w:rPr>
                <w:b/>
                <w:color w:val="7F7F7F" w:themeColor="text1" w:themeTint="80"/>
                <w:sz w:val="16"/>
                <w:szCs w:val="16"/>
              </w:rPr>
            </w:pPr>
            <w:r w:rsidRPr="00F77711">
              <w:rPr>
                <w:b/>
                <w:color w:val="7F7F7F" w:themeColor="text1" w:themeTint="80"/>
                <w:sz w:val="16"/>
                <w:szCs w:val="16"/>
              </w:rPr>
              <w:lastRenderedPageBreak/>
              <w:t>EMPLOYEE’S NAME (Print)</w:t>
            </w:r>
          </w:p>
        </w:tc>
        <w:tc>
          <w:tcPr>
            <w:tcW w:w="4283" w:type="dxa"/>
            <w:gridSpan w:val="4"/>
            <w:tcBorders>
              <w:bottom w:val="nil"/>
            </w:tcBorders>
          </w:tcPr>
          <w:p w14:paraId="0E98F722" w14:textId="77777777" w:rsidR="005072F6" w:rsidRPr="00F77711" w:rsidRDefault="005072F6" w:rsidP="00631558">
            <w:pPr>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072F6" w:rsidRPr="00F77711" w:rsidRDefault="005072F6" w:rsidP="00631558">
            <w:pPr>
              <w:rPr>
                <w:b/>
                <w:color w:val="7F7F7F" w:themeColor="text1" w:themeTint="80"/>
                <w:sz w:val="16"/>
                <w:szCs w:val="16"/>
              </w:rPr>
            </w:pPr>
            <w:r w:rsidRPr="00F77711">
              <w:rPr>
                <w:b/>
                <w:color w:val="7F7F7F" w:themeColor="text1" w:themeTint="80"/>
                <w:sz w:val="16"/>
                <w:szCs w:val="16"/>
              </w:rPr>
              <w:t>DATE</w:t>
            </w:r>
          </w:p>
        </w:tc>
      </w:tr>
      <w:tr w:rsidR="005072F6" w:rsidRPr="002E1CA3" w14:paraId="6A4544FC" w14:textId="77777777" w:rsidTr="00631558">
        <w:trPr>
          <w:trHeight w:val="387"/>
        </w:trPr>
        <w:tc>
          <w:tcPr>
            <w:tcW w:w="4497" w:type="dxa"/>
            <w:gridSpan w:val="2"/>
            <w:tcBorders>
              <w:top w:val="nil"/>
              <w:bottom w:val="single" w:sz="4" w:space="0" w:color="auto"/>
            </w:tcBorders>
            <w:vAlign w:val="center"/>
          </w:tcPr>
          <w:p w14:paraId="2481651B" w14:textId="77777777" w:rsidR="005072F6" w:rsidRPr="002E1CA3" w:rsidRDefault="005072F6" w:rsidP="00631558">
            <w:pPr>
              <w:rPr>
                <w:b/>
                <w:sz w:val="24"/>
                <w:szCs w:val="24"/>
              </w:rPr>
            </w:pPr>
          </w:p>
        </w:tc>
        <w:tc>
          <w:tcPr>
            <w:tcW w:w="4283" w:type="dxa"/>
            <w:gridSpan w:val="4"/>
            <w:tcBorders>
              <w:top w:val="nil"/>
              <w:bottom w:val="single" w:sz="4" w:space="0" w:color="auto"/>
            </w:tcBorders>
            <w:vAlign w:val="center"/>
          </w:tcPr>
          <w:p w14:paraId="13108D36" w14:textId="77777777" w:rsidR="005072F6" w:rsidRPr="002E1CA3" w:rsidRDefault="005072F6" w:rsidP="00631558">
            <w:pPr>
              <w:rPr>
                <w:b/>
                <w:sz w:val="24"/>
                <w:szCs w:val="24"/>
              </w:rPr>
            </w:pPr>
          </w:p>
        </w:tc>
        <w:tc>
          <w:tcPr>
            <w:tcW w:w="2028" w:type="dxa"/>
            <w:gridSpan w:val="4"/>
            <w:tcBorders>
              <w:top w:val="nil"/>
              <w:bottom w:val="single" w:sz="4" w:space="0" w:color="auto"/>
            </w:tcBorders>
            <w:vAlign w:val="center"/>
          </w:tcPr>
          <w:p w14:paraId="7D060045" w14:textId="77777777" w:rsidR="005072F6" w:rsidRPr="002E1CA3" w:rsidRDefault="005072F6" w:rsidP="00631558">
            <w:pPr>
              <w:rPr>
                <w:b/>
                <w:sz w:val="24"/>
                <w:szCs w:val="24"/>
              </w:rPr>
            </w:pPr>
          </w:p>
        </w:tc>
      </w:tr>
      <w:tr w:rsidR="005072F6" w:rsidRPr="002E1CA3" w14:paraId="7E321AF0" w14:textId="77777777" w:rsidTr="00631558">
        <w:tc>
          <w:tcPr>
            <w:tcW w:w="10808" w:type="dxa"/>
            <w:gridSpan w:val="10"/>
            <w:shd w:val="clear" w:color="auto" w:fill="A6A6A6" w:themeFill="background1" w:themeFillShade="A6"/>
          </w:tcPr>
          <w:p w14:paraId="7E74635D" w14:textId="77777777" w:rsidR="005072F6" w:rsidRPr="00B6474A" w:rsidRDefault="005072F6" w:rsidP="00631558">
            <w:pPr>
              <w:rPr>
                <w:b/>
                <w:sz w:val="20"/>
                <w:szCs w:val="16"/>
              </w:rPr>
            </w:pPr>
            <w:r w:rsidRPr="00B6474A">
              <w:rPr>
                <w:b/>
                <w:sz w:val="20"/>
                <w:szCs w:val="16"/>
              </w:rPr>
              <w:t>SUPERVISOR’S STATEMENT:</w:t>
            </w:r>
          </w:p>
          <w:p w14:paraId="5214F599" w14:textId="77777777" w:rsidR="005072F6" w:rsidRPr="00035671" w:rsidRDefault="005072F6" w:rsidP="00631558">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072F6" w:rsidRPr="002E1CA3" w:rsidRDefault="005072F6" w:rsidP="00631558">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5072F6" w:rsidRPr="00F77711" w14:paraId="08DD74C7" w14:textId="77777777" w:rsidTr="00631558">
        <w:tc>
          <w:tcPr>
            <w:tcW w:w="4497" w:type="dxa"/>
            <w:gridSpan w:val="2"/>
            <w:tcBorders>
              <w:bottom w:val="nil"/>
            </w:tcBorders>
          </w:tcPr>
          <w:p w14:paraId="634051DC" w14:textId="77777777" w:rsidR="005072F6" w:rsidRPr="00F77711" w:rsidRDefault="005072F6" w:rsidP="00631558">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072F6" w:rsidRPr="00F77711" w:rsidRDefault="005072F6" w:rsidP="00631558">
            <w:pPr>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072F6" w:rsidRPr="00F77711" w:rsidRDefault="005072F6" w:rsidP="00631558">
            <w:pPr>
              <w:rPr>
                <w:b/>
                <w:color w:val="7F7F7F" w:themeColor="text1" w:themeTint="80"/>
                <w:sz w:val="16"/>
                <w:szCs w:val="16"/>
              </w:rPr>
            </w:pPr>
            <w:r w:rsidRPr="00F77711">
              <w:rPr>
                <w:b/>
                <w:color w:val="7F7F7F" w:themeColor="text1" w:themeTint="80"/>
                <w:sz w:val="16"/>
                <w:szCs w:val="16"/>
              </w:rPr>
              <w:t>DATE</w:t>
            </w:r>
          </w:p>
        </w:tc>
      </w:tr>
      <w:tr w:rsidR="005072F6" w:rsidRPr="002E1CA3" w14:paraId="7E9954E8" w14:textId="77777777" w:rsidTr="00631558">
        <w:trPr>
          <w:trHeight w:val="387"/>
        </w:trPr>
        <w:tc>
          <w:tcPr>
            <w:tcW w:w="4497" w:type="dxa"/>
            <w:gridSpan w:val="2"/>
            <w:tcBorders>
              <w:top w:val="nil"/>
              <w:bottom w:val="single" w:sz="4" w:space="0" w:color="auto"/>
            </w:tcBorders>
            <w:vAlign w:val="center"/>
          </w:tcPr>
          <w:p w14:paraId="32D5BBAD" w14:textId="77777777" w:rsidR="005072F6" w:rsidRPr="002E1CA3" w:rsidRDefault="005072F6" w:rsidP="00631558">
            <w:pPr>
              <w:rPr>
                <w:b/>
                <w:sz w:val="24"/>
                <w:szCs w:val="24"/>
              </w:rPr>
            </w:pPr>
          </w:p>
        </w:tc>
        <w:tc>
          <w:tcPr>
            <w:tcW w:w="4283" w:type="dxa"/>
            <w:gridSpan w:val="4"/>
            <w:tcBorders>
              <w:top w:val="nil"/>
              <w:bottom w:val="single" w:sz="4" w:space="0" w:color="auto"/>
            </w:tcBorders>
            <w:vAlign w:val="center"/>
          </w:tcPr>
          <w:p w14:paraId="4C8DBD54" w14:textId="77777777" w:rsidR="005072F6" w:rsidRPr="002E1CA3" w:rsidRDefault="005072F6" w:rsidP="00631558">
            <w:pPr>
              <w:rPr>
                <w:b/>
                <w:sz w:val="24"/>
                <w:szCs w:val="24"/>
              </w:rPr>
            </w:pPr>
          </w:p>
        </w:tc>
        <w:tc>
          <w:tcPr>
            <w:tcW w:w="2028" w:type="dxa"/>
            <w:gridSpan w:val="4"/>
            <w:tcBorders>
              <w:top w:val="nil"/>
              <w:bottom w:val="single" w:sz="4" w:space="0" w:color="auto"/>
            </w:tcBorders>
            <w:vAlign w:val="center"/>
          </w:tcPr>
          <w:p w14:paraId="74A5256A" w14:textId="77777777" w:rsidR="005072F6" w:rsidRPr="002E1CA3" w:rsidRDefault="005072F6" w:rsidP="00631558">
            <w:pPr>
              <w:rPr>
                <w:b/>
                <w:sz w:val="24"/>
                <w:szCs w:val="24"/>
              </w:rPr>
            </w:pPr>
          </w:p>
        </w:tc>
      </w:tr>
    </w:tbl>
    <w:p w14:paraId="5B5B3CCB" w14:textId="233653E6" w:rsidR="00C3080F" w:rsidRPr="002E1CA3" w:rsidRDefault="00631558">
      <w:r>
        <w:br w:type="textWrapping" w:clear="all"/>
      </w:r>
    </w:p>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817F8" w14:textId="77777777" w:rsidR="001942DB" w:rsidRDefault="001942DB" w:rsidP="00284F62">
      <w:pPr>
        <w:spacing w:after="0" w:line="240" w:lineRule="auto"/>
      </w:pPr>
      <w:r>
        <w:separator/>
      </w:r>
    </w:p>
  </w:endnote>
  <w:endnote w:type="continuationSeparator" w:id="0">
    <w:p w14:paraId="28C09084" w14:textId="77777777" w:rsidR="001942DB" w:rsidRDefault="001942DB"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5A737" w14:textId="77777777" w:rsidR="001942DB" w:rsidRDefault="001942DB" w:rsidP="00284F62">
      <w:pPr>
        <w:spacing w:after="0" w:line="240" w:lineRule="auto"/>
      </w:pPr>
      <w:r>
        <w:separator/>
      </w:r>
    </w:p>
  </w:footnote>
  <w:footnote w:type="continuationSeparator" w:id="0">
    <w:p w14:paraId="1281424D" w14:textId="77777777" w:rsidR="001942DB" w:rsidRDefault="001942DB"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517ABBDC" w14:textId="3E07A159" w:rsidR="009C58AD" w:rsidRPr="00F77711" w:rsidRDefault="00631558" w:rsidP="009C58AD">
          <w:pPr>
            <w:pStyle w:val="Heading2"/>
            <w:jc w:val="left"/>
            <w:rPr>
              <w:rFonts w:asciiTheme="minorHAnsi" w:hAnsiTheme="minorHAnsi" w:cstheme="minorHAnsi"/>
              <w:color w:val="7F7F7F" w:themeColor="text1" w:themeTint="80"/>
              <w:sz w:val="16"/>
              <w:szCs w:val="16"/>
            </w:rPr>
          </w:pPr>
          <w:r>
            <w:rPr>
              <w:rFonts w:asciiTheme="minorHAnsi" w:hAnsiTheme="minorHAnsi" w:cstheme="minorHAnsi"/>
              <w:b w:val="0"/>
              <w:sz w:val="20"/>
            </w:rPr>
            <w:t>048-202-5157-002</w:t>
          </w:r>
        </w:p>
      </w:tc>
      <w:tc>
        <w:tcPr>
          <w:tcW w:w="1298" w:type="dxa"/>
          <w:tcBorders>
            <w:top w:val="single" w:sz="6" w:space="0" w:color="auto"/>
            <w:left w:val="single" w:sz="6" w:space="0" w:color="auto"/>
            <w:bottom w:val="nil"/>
            <w:right w:val="single" w:sz="6" w:space="0" w:color="auto"/>
          </w:tcBorders>
          <w:shd w:val="clear" w:color="auto" w:fill="auto"/>
        </w:tcPr>
        <w:p w14:paraId="6C85C182" w14:textId="50101573"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9E6EAA">
            <w:rPr>
              <w:rStyle w:val="PageNumber"/>
              <w:rFonts w:cstheme="minorHAnsi"/>
              <w:noProof/>
              <w:color w:val="7F7F7F" w:themeColor="text1" w:themeTint="80"/>
              <w:sz w:val="16"/>
              <w:szCs w:val="16"/>
            </w:rPr>
            <w:t>3</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9E6EAA">
            <w:rPr>
              <w:rStyle w:val="PageNumber"/>
              <w:rFonts w:cstheme="minorHAnsi"/>
              <w:noProof/>
              <w:color w:val="7F7F7F" w:themeColor="text1" w:themeTint="80"/>
              <w:sz w:val="16"/>
              <w:szCs w:val="16"/>
            </w:rPr>
            <w:t>3</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3965FFE3" w14:textId="37F4D347" w:rsidR="009C58AD" w:rsidRPr="002E1CA3" w:rsidRDefault="009C58AD" w:rsidP="005072F6">
          <w:pPr>
            <w:pStyle w:val="Heading2"/>
            <w:jc w:val="left"/>
            <w:rPr>
              <w:rFonts w:asciiTheme="minorHAnsi" w:hAnsiTheme="minorHAnsi" w:cstheme="minorHAnsi"/>
              <w:b w:val="0"/>
              <w:sz w:val="20"/>
            </w:rPr>
          </w:pPr>
        </w:p>
      </w:tc>
      <w:tc>
        <w:tcPr>
          <w:tcW w:w="1298" w:type="dxa"/>
          <w:tcBorders>
            <w:top w:val="nil"/>
            <w:left w:val="single" w:sz="6" w:space="0" w:color="auto"/>
            <w:bottom w:val="single" w:sz="6" w:space="0" w:color="auto"/>
            <w:right w:val="single" w:sz="6" w:space="0" w:color="auto"/>
          </w:tcBorders>
          <w:shd w:val="clear" w:color="auto" w:fill="auto"/>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AF7"/>
    <w:multiLevelType w:val="hybridMultilevel"/>
    <w:tmpl w:val="D7A20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62"/>
    <w:rsid w:val="0000464F"/>
    <w:rsid w:val="00035671"/>
    <w:rsid w:val="00086C13"/>
    <w:rsid w:val="000C04E3"/>
    <w:rsid w:val="000E2954"/>
    <w:rsid w:val="00167A73"/>
    <w:rsid w:val="001942DB"/>
    <w:rsid w:val="001A39AE"/>
    <w:rsid w:val="00205F73"/>
    <w:rsid w:val="002237E2"/>
    <w:rsid w:val="00255857"/>
    <w:rsid w:val="00284F62"/>
    <w:rsid w:val="00290E4F"/>
    <w:rsid w:val="002B2DCC"/>
    <w:rsid w:val="002E1CA3"/>
    <w:rsid w:val="0030076B"/>
    <w:rsid w:val="003309EA"/>
    <w:rsid w:val="003579A0"/>
    <w:rsid w:val="003757E8"/>
    <w:rsid w:val="003D015D"/>
    <w:rsid w:val="003D4110"/>
    <w:rsid w:val="003E1BE4"/>
    <w:rsid w:val="00401674"/>
    <w:rsid w:val="004120A7"/>
    <w:rsid w:val="00457FFA"/>
    <w:rsid w:val="00474A5B"/>
    <w:rsid w:val="004871ED"/>
    <w:rsid w:val="004D7D9E"/>
    <w:rsid w:val="00503BB5"/>
    <w:rsid w:val="005072F6"/>
    <w:rsid w:val="00525FB1"/>
    <w:rsid w:val="005943C7"/>
    <w:rsid w:val="005F0F2D"/>
    <w:rsid w:val="00623881"/>
    <w:rsid w:val="00631558"/>
    <w:rsid w:val="00632FF7"/>
    <w:rsid w:val="00657455"/>
    <w:rsid w:val="00762CE0"/>
    <w:rsid w:val="007B2B75"/>
    <w:rsid w:val="00841BA4"/>
    <w:rsid w:val="008B4F6E"/>
    <w:rsid w:val="009226B5"/>
    <w:rsid w:val="00930BF2"/>
    <w:rsid w:val="00945CE5"/>
    <w:rsid w:val="009C58AD"/>
    <w:rsid w:val="009E6EAA"/>
    <w:rsid w:val="00A06728"/>
    <w:rsid w:val="00AA247F"/>
    <w:rsid w:val="00B04929"/>
    <w:rsid w:val="00B6474A"/>
    <w:rsid w:val="00BA3667"/>
    <w:rsid w:val="00BD13EC"/>
    <w:rsid w:val="00C3080F"/>
    <w:rsid w:val="00C74C6B"/>
    <w:rsid w:val="00C75C8C"/>
    <w:rsid w:val="00C76462"/>
    <w:rsid w:val="00CD0D6A"/>
    <w:rsid w:val="00CF218E"/>
    <w:rsid w:val="00DB52FE"/>
    <w:rsid w:val="00F20EC9"/>
    <w:rsid w:val="00F32283"/>
    <w:rsid w:val="00F5047B"/>
    <w:rsid w:val="00F5733A"/>
    <w:rsid w:val="00F667B8"/>
    <w:rsid w:val="00F77711"/>
    <w:rsid w:val="00FA3365"/>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4BED5DA16B54E92EFE2A579455D09" ma:contentTypeVersion="8" ma:contentTypeDescription="Create a new document." ma:contentTypeScope="" ma:versionID="064e260dca3650d0fc6c40a725453508">
  <xsd:schema xmlns:xsd="http://www.w3.org/2001/XMLSchema" xmlns:xs="http://www.w3.org/2001/XMLSchema" xmlns:p="http://schemas.microsoft.com/office/2006/metadata/properties" xmlns:ns3="d5a90210-931d-49a4-942d-a6d65028341c" targetNamespace="http://schemas.microsoft.com/office/2006/metadata/properties" ma:root="true" ma:fieldsID="94b49a2c29c626e494af2ed41baee38b" ns3:_="">
    <xsd:import namespace="d5a90210-931d-49a4-942d-a6d6502834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90210-931d-49a4-942d-a6d650283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2.xml><?xml version="1.0" encoding="utf-8"?>
<ds:datastoreItem xmlns:ds="http://schemas.openxmlformats.org/officeDocument/2006/customXml" ds:itemID="{6B109751-5ECA-48AE-907C-F5B1997E6BFA}">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d5a90210-931d-49a4-942d-a6d65028341c"/>
    <ds:schemaRef ds:uri="http://purl.org/dc/dcmitype/"/>
  </ds:schemaRefs>
</ds:datastoreItem>
</file>

<file path=customXml/itemProps3.xml><?xml version="1.0" encoding="utf-8"?>
<ds:datastoreItem xmlns:ds="http://schemas.openxmlformats.org/officeDocument/2006/customXml" ds:itemID="{826B18E9-6C4C-454F-AD2C-5FC86F5DB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90210-931d-49a4-942d-a6d650283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Jenni</dc:creator>
  <cp:keywords/>
  <dc:description/>
  <cp:lastModifiedBy>Alvarado, Maria@CDCR</cp:lastModifiedBy>
  <cp:revision>11</cp:revision>
  <dcterms:created xsi:type="dcterms:W3CDTF">2022-09-13T15:27:00Z</dcterms:created>
  <dcterms:modified xsi:type="dcterms:W3CDTF">2022-12-20T16:25:00Z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0x01010097A4BED5DA16B54E92EFE2A579455D09</vt:lpwstr>
  </property>
</Properties>
</file>