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E8C80" w14:textId="77777777" w:rsidR="00BC1E70" w:rsidRDefault="00BC1E70" w:rsidP="002A6932">
      <w:pPr>
        <w:pStyle w:val="BodyText"/>
        <w:spacing w:before="1"/>
      </w:pPr>
    </w:p>
    <w:p w14:paraId="1F60392A" w14:textId="77777777" w:rsidR="00BC1E70" w:rsidRDefault="00BC1E70" w:rsidP="002A6932">
      <w:pPr>
        <w:pStyle w:val="BodyText"/>
        <w:spacing w:before="1"/>
      </w:pPr>
    </w:p>
    <w:p w14:paraId="10C5AD80" w14:textId="7DF0F126" w:rsidR="002A6932" w:rsidRDefault="002A6932" w:rsidP="002A6932">
      <w:pPr>
        <w:pStyle w:val="BodyText"/>
        <w:spacing w:before="1"/>
      </w:pPr>
      <w:r w:rsidRPr="00787571">
        <w:rPr>
          <w:rFonts w:ascii="Century Gothic" w:hAnsi="Century Gothic"/>
          <w:noProof/>
          <w:sz w:val="22"/>
          <w:szCs w:val="22"/>
        </w:rPr>
        <mc:AlternateContent>
          <mc:Choice Requires="wps">
            <w:drawing>
              <wp:anchor distT="0" distB="0" distL="114300" distR="114300" simplePos="0" relativeHeight="251661312" behindDoc="0" locked="0" layoutInCell="1" allowOverlap="1" wp14:anchorId="20B4C7E0" wp14:editId="52648FB3">
                <wp:simplePos x="0" y="0"/>
                <wp:positionH relativeFrom="page">
                  <wp:posOffset>7735570</wp:posOffset>
                </wp:positionH>
                <wp:positionV relativeFrom="page">
                  <wp:posOffset>1273175</wp:posOffset>
                </wp:positionV>
                <wp:extent cx="0" cy="0"/>
                <wp:effectExtent l="0" t="0" r="0" b="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51F63" id="Line 10"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1pt,100.25pt" to="609.1pt,1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" strokeweight=".25461mm">
                <w10:wrap anchorx="page" anchory="page"/>
              </v:line>
            </w:pict>
          </mc:Fallback>
        </mc:AlternateContent>
      </w:r>
      <w:r w:rsidRPr="00787571">
        <w:rPr>
          <w:rFonts w:ascii="Century Gothic" w:hAnsi="Century Gothic"/>
          <w:noProof/>
          <w:sz w:val="22"/>
          <w:szCs w:val="22"/>
        </w:rPr>
        <mc:AlternateContent>
          <mc:Choice Requires="wps">
            <w:drawing>
              <wp:anchor distT="0" distB="0" distL="114300" distR="114300" simplePos="0" relativeHeight="251662336" behindDoc="0" locked="0" layoutInCell="1" allowOverlap="1" wp14:anchorId="76E9B01F" wp14:editId="7E169D41">
                <wp:simplePos x="0" y="0"/>
                <wp:positionH relativeFrom="page">
                  <wp:posOffset>7745095</wp:posOffset>
                </wp:positionH>
                <wp:positionV relativeFrom="page">
                  <wp:posOffset>4227830</wp:posOffset>
                </wp:positionV>
                <wp:extent cx="0" cy="0"/>
                <wp:effectExtent l="0" t="0" r="0" b="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11F1D" id="Line 9"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85pt,332.9pt" to="609.85pt,3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" strokeweight=".25461mm">
                <w10:wrap anchorx="page" anchory="page"/>
              </v:line>
            </w:pict>
          </mc:Fallback>
        </mc:AlternateContent>
      </w:r>
      <w:r w:rsidRPr="00787571">
        <w:rPr>
          <w:rFonts w:ascii="Century Gothic" w:hAnsi="Century Gothic"/>
          <w:noProof/>
          <w:sz w:val="22"/>
          <w:szCs w:val="22"/>
        </w:rPr>
        <mc:AlternateContent>
          <mc:Choice Requires="wps">
            <w:drawing>
              <wp:anchor distT="0" distB="0" distL="114300" distR="114300" simplePos="0" relativeHeight="251663360" behindDoc="0" locked="0" layoutInCell="1" allowOverlap="1" wp14:anchorId="449BBA87" wp14:editId="254FA6E2">
                <wp:simplePos x="0" y="0"/>
                <wp:positionH relativeFrom="page">
                  <wp:posOffset>7758430</wp:posOffset>
                </wp:positionH>
                <wp:positionV relativeFrom="page">
                  <wp:posOffset>6948170</wp:posOffset>
                </wp:positionV>
                <wp:extent cx="0" cy="0"/>
                <wp:effectExtent l="0" t="0" r="0" b="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D9DD3" id="Line 8"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9pt,547.1pt" to="610.9pt,5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" strokeweight=".25461mm">
                <w10:wrap anchorx="page" anchory="page"/>
              </v:line>
            </w:pict>
          </mc:Fallback>
        </mc:AlternateContent>
      </w:r>
      <w:r w:rsidRPr="00787571">
        <w:rPr>
          <w:rFonts w:ascii="Century Gothic" w:hAnsi="Century Gothic"/>
          <w:noProof/>
          <w:sz w:val="22"/>
          <w:szCs w:val="22"/>
        </w:rPr>
        <mc:AlternateContent>
          <mc:Choice Requires="wps">
            <w:drawing>
              <wp:anchor distT="0" distB="0" distL="114300" distR="114300" simplePos="0" relativeHeight="251664384" behindDoc="0" locked="0" layoutInCell="1" allowOverlap="1" wp14:anchorId="7BC1FDC5" wp14:editId="5C316E51">
                <wp:simplePos x="0" y="0"/>
                <wp:positionH relativeFrom="page">
                  <wp:posOffset>7767955</wp:posOffset>
                </wp:positionH>
                <wp:positionV relativeFrom="page">
                  <wp:posOffset>10039985</wp:posOffset>
                </wp:positionV>
                <wp:extent cx="0" cy="0"/>
                <wp:effectExtent l="0" t="0" r="0" b="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69A4B" id="Line 7"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1.65pt,790.55pt" to="611.65pt,7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" strokeweight=".25461mm">
                <w10:wrap anchorx="page" anchory="page"/>
              </v:line>
            </w:pict>
          </mc:Fallback>
        </mc:AlternateContent>
      </w:r>
      <w:r w:rsidR="00617E03">
        <w:rPr>
          <w:noProof/>
        </w:rPr>
        <w:object w:dxaOrig="1440" w:dyaOrig="1440" w14:anchorId="0D83EC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5pt;margin-top:.7pt;width:89.65pt;height:33.95pt;z-index:251665408;mso-position-horizontal-relative:text;mso-position-vertical-relative:text;mso-width-relative:page;mso-height-relative:page" wrapcoords="-180 0 -180 21207 21600 21207 21600 0 -180 0">
            <v:imagedata r:id="rId7" o:title=""/>
            <w10:wrap type="through"/>
          </v:shape>
          <o:OLEObject Type="Embed" ProgID="PBrush" ShapeID="_x0000_s1026" DrawAspect="Content" ObjectID="_1814944836" r:id="rId8"/>
        </w:object>
      </w:r>
    </w:p>
    <w:p w14:paraId="0A9DC95E" w14:textId="77777777" w:rsidR="002A6932" w:rsidRPr="005760B8" w:rsidRDefault="002A6932" w:rsidP="002A6932">
      <w:pPr>
        <w:jc w:val="right"/>
        <w:rPr>
          <w:b/>
        </w:rPr>
      </w:pPr>
      <w:r w:rsidRPr="005760B8">
        <w:rPr>
          <w:b/>
          <w:sz w:val="28"/>
        </w:rPr>
        <w:t>Duty Statement</w:t>
      </w:r>
    </w:p>
    <w:p w14:paraId="6242C1A9" w14:textId="77777777" w:rsidR="002A6932" w:rsidRPr="007C5710" w:rsidRDefault="002A6932" w:rsidP="002A6932">
      <w:pPr>
        <w:jc w:val="right"/>
      </w:pPr>
      <w:r>
        <w:rPr>
          <w:noProof/>
        </w:rPr>
        <w:drawing>
          <wp:anchor distT="0" distB="0" distL="114300" distR="114300" simplePos="0" relativeHeight="251666432" behindDoc="1" locked="0" layoutInCell="1" allowOverlap="1" wp14:anchorId="1FC35B14" wp14:editId="2489D620">
            <wp:simplePos x="0" y="0"/>
            <wp:positionH relativeFrom="column">
              <wp:posOffset>337820</wp:posOffset>
            </wp:positionH>
            <wp:positionV relativeFrom="paragraph">
              <wp:posOffset>106944</wp:posOffset>
            </wp:positionV>
            <wp:extent cx="449676" cy="603028"/>
            <wp:effectExtent l="19050" t="19050" r="26670" b="260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LES logo.png"/>
                    <pic:cNvPicPr/>
                  </pic:nvPicPr>
                  <pic:blipFill>
                    <a:blip r:embed="rId9" cstate="print">
                      <a:extLst>
                        <a:ext uri="{28A0092B-C50C-407E-A947-70E740481C1C}">
                          <a14:useLocalDpi xmlns:a14="http://schemas.microsoft.com/office/drawing/2010/main" val="0"/>
                        </a:ext>
                      </a:extLst>
                    </a:blip>
                    <a:stretch>
                      <a:fillRect/>
                    </a:stretch>
                  </pic:blipFill>
                  <pic:spPr>
                    <a:xfrm rot="21415478">
                      <a:off x="0" y="0"/>
                      <a:ext cx="449676" cy="603028"/>
                    </a:xfrm>
                    <a:prstGeom prst="rect">
                      <a:avLst/>
                    </a:prstGeom>
                  </pic:spPr>
                </pic:pic>
              </a:graphicData>
            </a:graphic>
            <wp14:sizeRelH relativeFrom="page">
              <wp14:pctWidth>0</wp14:pctWidth>
            </wp14:sizeRelH>
            <wp14:sizeRelV relativeFrom="page">
              <wp14:pctHeight>0</wp14:pctHeight>
            </wp14:sizeRelV>
          </wp:anchor>
        </w:drawing>
      </w:r>
      <w:r w:rsidRPr="007C5710">
        <w:tab/>
      </w:r>
      <w:r w:rsidRPr="007C5710">
        <w:tab/>
      </w:r>
      <w:r w:rsidRPr="002337FC">
        <w:t>Office of Law Enforcement Support</w:t>
      </w:r>
      <w:r w:rsidRPr="002337FC">
        <w:br/>
      </w:r>
      <w:r w:rsidRPr="002337FC">
        <w:tab/>
        <w:t>Health and Human Services Agency</w:t>
      </w:r>
      <w:r w:rsidRPr="002337FC">
        <w:br/>
        <w:t>State of California</w:t>
      </w:r>
    </w:p>
    <w:tbl>
      <w:tblPr>
        <w:tblStyle w:val="TableGrid"/>
        <w:tblW w:w="0" w:type="auto"/>
        <w:tblInd w:w="0" w:type="dxa"/>
        <w:tblLook w:val="04A0" w:firstRow="1" w:lastRow="0" w:firstColumn="1" w:lastColumn="0" w:noHBand="0" w:noVBand="1"/>
      </w:tblPr>
      <w:tblGrid>
        <w:gridCol w:w="4682"/>
        <w:gridCol w:w="4668"/>
      </w:tblGrid>
      <w:tr w:rsidR="00130188" w:rsidRPr="00130188" w14:paraId="38555B26" w14:textId="77777777" w:rsidTr="00754489">
        <w:tc>
          <w:tcPr>
            <w:tcW w:w="5035" w:type="dxa"/>
          </w:tcPr>
          <w:p w14:paraId="360C582C" w14:textId="77777777" w:rsidR="00130188" w:rsidRPr="00172CE9" w:rsidRDefault="00130188" w:rsidP="00754489">
            <w:pPr>
              <w:spacing w:line="360" w:lineRule="auto"/>
              <w:rPr>
                <w:rFonts w:ascii="Century Gothic" w:hAnsi="Century Gothic"/>
                <w:b/>
                <w:sz w:val="22"/>
                <w:szCs w:val="22"/>
              </w:rPr>
            </w:pPr>
            <w:r w:rsidRPr="00172CE9">
              <w:rPr>
                <w:rFonts w:ascii="Century Gothic" w:hAnsi="Century Gothic"/>
                <w:b/>
                <w:sz w:val="22"/>
              </w:rPr>
              <w:t>Classification Title</w:t>
            </w:r>
          </w:p>
          <w:p w14:paraId="129F596B" w14:textId="77777777" w:rsidR="00130188" w:rsidRDefault="00130188" w:rsidP="00754489">
            <w:pPr>
              <w:rPr>
                <w:rFonts w:ascii="Century Gothic" w:hAnsi="Century Gothic" w:cs="Arial"/>
                <w:sz w:val="22"/>
              </w:rPr>
            </w:pPr>
            <w:r w:rsidRPr="00172CE9">
              <w:rPr>
                <w:rFonts w:ascii="Century Gothic" w:hAnsi="Century Gothic" w:cs="Arial"/>
                <w:sz w:val="22"/>
              </w:rPr>
              <w:t>Assistant Chief Counsel</w:t>
            </w:r>
          </w:p>
          <w:p w14:paraId="063611A7" w14:textId="4CF196F0" w:rsidR="008E3579" w:rsidRPr="00172CE9" w:rsidRDefault="008E3579" w:rsidP="00FD61C4">
            <w:pPr>
              <w:rPr>
                <w:rFonts w:ascii="Century Gothic" w:hAnsi="Century Gothic"/>
                <w:sz w:val="22"/>
                <w:szCs w:val="22"/>
              </w:rPr>
            </w:pPr>
          </w:p>
        </w:tc>
        <w:tc>
          <w:tcPr>
            <w:tcW w:w="5035" w:type="dxa"/>
          </w:tcPr>
          <w:p w14:paraId="634FD47C" w14:textId="77777777" w:rsidR="00130188" w:rsidRPr="00172CE9" w:rsidRDefault="00130188" w:rsidP="00754489">
            <w:pPr>
              <w:spacing w:line="360" w:lineRule="auto"/>
              <w:rPr>
                <w:rFonts w:ascii="Century Gothic" w:hAnsi="Century Gothic"/>
                <w:b/>
                <w:sz w:val="22"/>
                <w:szCs w:val="22"/>
              </w:rPr>
            </w:pPr>
            <w:r w:rsidRPr="00172CE9">
              <w:rPr>
                <w:rFonts w:ascii="Century Gothic" w:hAnsi="Century Gothic"/>
                <w:b/>
                <w:sz w:val="22"/>
              </w:rPr>
              <w:t>Section/Unit</w:t>
            </w:r>
          </w:p>
          <w:p w14:paraId="08978852" w14:textId="77777777" w:rsidR="00130188" w:rsidRPr="00172CE9" w:rsidRDefault="00172CE9" w:rsidP="00172CE9">
            <w:pPr>
              <w:spacing w:line="360" w:lineRule="auto"/>
              <w:rPr>
                <w:rFonts w:ascii="Century Gothic" w:hAnsi="Century Gothic"/>
                <w:sz w:val="22"/>
                <w:szCs w:val="22"/>
              </w:rPr>
            </w:pPr>
            <w:r>
              <w:rPr>
                <w:rFonts w:ascii="Century Gothic" w:hAnsi="Century Gothic" w:cs="Arial"/>
                <w:sz w:val="22"/>
                <w:szCs w:val="22"/>
              </w:rPr>
              <w:t>OLES Legal Division</w:t>
            </w:r>
          </w:p>
        </w:tc>
      </w:tr>
      <w:tr w:rsidR="00130188" w:rsidRPr="00130188" w14:paraId="25135C97" w14:textId="77777777" w:rsidTr="00754489">
        <w:tc>
          <w:tcPr>
            <w:tcW w:w="5035" w:type="dxa"/>
          </w:tcPr>
          <w:p w14:paraId="3D96A4D6" w14:textId="77777777" w:rsidR="00130188" w:rsidRPr="00172CE9" w:rsidRDefault="00130188" w:rsidP="00754489">
            <w:pPr>
              <w:spacing w:line="360" w:lineRule="auto"/>
              <w:rPr>
                <w:rFonts w:ascii="Century Gothic" w:hAnsi="Century Gothic"/>
                <w:b/>
                <w:sz w:val="22"/>
                <w:szCs w:val="22"/>
              </w:rPr>
            </w:pPr>
            <w:r w:rsidRPr="00172CE9">
              <w:rPr>
                <w:rFonts w:ascii="Century Gothic" w:hAnsi="Century Gothic"/>
                <w:b/>
                <w:sz w:val="22"/>
              </w:rPr>
              <w:t>Position Number</w:t>
            </w:r>
          </w:p>
          <w:p w14:paraId="573E6C06" w14:textId="1CA34CF1" w:rsidR="00130188" w:rsidRPr="00172CE9" w:rsidRDefault="00130188" w:rsidP="00754489">
            <w:pPr>
              <w:spacing w:line="360" w:lineRule="auto"/>
              <w:rPr>
                <w:rFonts w:ascii="Century Gothic" w:hAnsi="Century Gothic"/>
                <w:sz w:val="22"/>
                <w:szCs w:val="22"/>
              </w:rPr>
            </w:pPr>
          </w:p>
        </w:tc>
        <w:tc>
          <w:tcPr>
            <w:tcW w:w="5035" w:type="dxa"/>
          </w:tcPr>
          <w:p w14:paraId="10C30A8F" w14:textId="77777777" w:rsidR="00130188" w:rsidRPr="00172CE9" w:rsidRDefault="00130188" w:rsidP="00754489">
            <w:pPr>
              <w:spacing w:line="360" w:lineRule="auto"/>
              <w:rPr>
                <w:rFonts w:ascii="Century Gothic" w:hAnsi="Century Gothic"/>
                <w:b/>
                <w:sz w:val="22"/>
                <w:szCs w:val="22"/>
              </w:rPr>
            </w:pPr>
            <w:r w:rsidRPr="00172CE9">
              <w:rPr>
                <w:rFonts w:ascii="Century Gothic" w:hAnsi="Century Gothic"/>
                <w:b/>
                <w:sz w:val="22"/>
              </w:rPr>
              <w:t>Effective Date</w:t>
            </w:r>
          </w:p>
          <w:p w14:paraId="2578C467" w14:textId="30D0874D" w:rsidR="00130188" w:rsidRPr="00172CE9" w:rsidRDefault="00FB0651" w:rsidP="00754489">
            <w:pPr>
              <w:rPr>
                <w:rFonts w:ascii="Century Gothic" w:hAnsi="Century Gothic"/>
                <w:sz w:val="22"/>
                <w:szCs w:val="22"/>
              </w:rPr>
            </w:pPr>
            <w:r>
              <w:rPr>
                <w:rFonts w:ascii="Century Gothic" w:hAnsi="Century Gothic"/>
                <w:sz w:val="22"/>
              </w:rPr>
              <w:t>5/14/</w:t>
            </w:r>
            <w:r w:rsidR="00130188" w:rsidRPr="00172CE9">
              <w:rPr>
                <w:rFonts w:ascii="Century Gothic" w:hAnsi="Century Gothic"/>
                <w:sz w:val="22"/>
              </w:rPr>
              <w:t>202</w:t>
            </w:r>
            <w:r>
              <w:rPr>
                <w:rFonts w:ascii="Century Gothic" w:hAnsi="Century Gothic"/>
                <w:sz w:val="22"/>
              </w:rPr>
              <w:t>5</w:t>
            </w:r>
          </w:p>
        </w:tc>
      </w:tr>
      <w:tr w:rsidR="00130188" w:rsidRPr="00130188" w14:paraId="055BD9CB" w14:textId="77777777" w:rsidTr="00754489">
        <w:tc>
          <w:tcPr>
            <w:tcW w:w="5035" w:type="dxa"/>
          </w:tcPr>
          <w:p w14:paraId="43ED475D" w14:textId="3775BBC1" w:rsidR="00130188" w:rsidRPr="00E600CF" w:rsidRDefault="00130188" w:rsidP="00754489">
            <w:pPr>
              <w:spacing w:line="360" w:lineRule="auto"/>
              <w:rPr>
                <w:rFonts w:ascii="Century Gothic" w:hAnsi="Century Gothic"/>
                <w:b/>
                <w:sz w:val="22"/>
                <w:szCs w:val="22"/>
              </w:rPr>
            </w:pPr>
            <w:r w:rsidRPr="00172CE9">
              <w:rPr>
                <w:rFonts w:ascii="Century Gothic" w:hAnsi="Century Gothic"/>
                <w:b/>
                <w:sz w:val="22"/>
              </w:rPr>
              <w:t>Name</w:t>
            </w:r>
          </w:p>
        </w:tc>
        <w:tc>
          <w:tcPr>
            <w:tcW w:w="5035" w:type="dxa"/>
          </w:tcPr>
          <w:p w14:paraId="00D7A590" w14:textId="77777777" w:rsidR="00130188" w:rsidRPr="00172CE9" w:rsidRDefault="00130188" w:rsidP="00754489">
            <w:pPr>
              <w:spacing w:line="360" w:lineRule="auto"/>
              <w:rPr>
                <w:rFonts w:ascii="Century Gothic" w:hAnsi="Century Gothic"/>
                <w:b/>
                <w:sz w:val="22"/>
                <w:szCs w:val="22"/>
              </w:rPr>
            </w:pPr>
            <w:r w:rsidRPr="00172CE9">
              <w:rPr>
                <w:rFonts w:ascii="Century Gothic" w:hAnsi="Century Gothic"/>
                <w:b/>
                <w:sz w:val="22"/>
              </w:rPr>
              <w:t>Date Prepared</w:t>
            </w:r>
          </w:p>
          <w:p w14:paraId="6BF73291" w14:textId="65DCCA0D" w:rsidR="00130188" w:rsidRPr="00172CE9" w:rsidRDefault="00FB0651" w:rsidP="00754489">
            <w:pPr>
              <w:spacing w:line="360" w:lineRule="auto"/>
              <w:rPr>
                <w:rFonts w:ascii="Century Gothic" w:hAnsi="Century Gothic"/>
                <w:sz w:val="22"/>
                <w:szCs w:val="22"/>
              </w:rPr>
            </w:pPr>
            <w:r>
              <w:rPr>
                <w:rFonts w:ascii="Century Gothic" w:hAnsi="Century Gothic"/>
                <w:sz w:val="22"/>
              </w:rPr>
              <w:t>5/14</w:t>
            </w:r>
            <w:r w:rsidR="00130188" w:rsidRPr="00172CE9">
              <w:rPr>
                <w:rFonts w:ascii="Century Gothic" w:hAnsi="Century Gothic"/>
                <w:sz w:val="22"/>
              </w:rPr>
              <w:t>/202</w:t>
            </w:r>
            <w:r>
              <w:rPr>
                <w:rFonts w:ascii="Century Gothic" w:hAnsi="Century Gothic"/>
                <w:sz w:val="22"/>
              </w:rPr>
              <w:t>5</w:t>
            </w:r>
          </w:p>
        </w:tc>
      </w:tr>
    </w:tbl>
    <w:p w14:paraId="2FBEFC2A" w14:textId="77777777" w:rsidR="00130188" w:rsidRPr="00130188" w:rsidRDefault="00130188" w:rsidP="00130188">
      <w:pPr>
        <w:pStyle w:val="Title"/>
        <w:ind w:left="3515" w:right="0" w:hanging="3515"/>
        <w:rPr>
          <w:rFonts w:ascii="Century Gothic" w:hAnsi="Century Gothic"/>
          <w:b/>
          <w:sz w:val="22"/>
          <w:szCs w:val="22"/>
        </w:rPr>
      </w:pPr>
    </w:p>
    <w:p w14:paraId="4CDCB2AB" w14:textId="77777777" w:rsidR="00130188" w:rsidRPr="00172CE9" w:rsidRDefault="00130188" w:rsidP="00130188">
      <w:pPr>
        <w:pStyle w:val="Heading1"/>
        <w:rPr>
          <w:rFonts w:ascii="Century Gothic" w:hAnsi="Century Gothic"/>
          <w:w w:val="105"/>
          <w:sz w:val="22"/>
          <w:szCs w:val="22"/>
        </w:rPr>
      </w:pPr>
      <w:r w:rsidRPr="00172CE9">
        <w:rPr>
          <w:rFonts w:ascii="Century Gothic" w:hAnsi="Century Gothic"/>
          <w:w w:val="105"/>
          <w:sz w:val="22"/>
          <w:szCs w:val="22"/>
        </w:rPr>
        <w:t>OLES Mission and Vision</w:t>
      </w:r>
    </w:p>
    <w:p w14:paraId="49BF3B0A" w14:textId="77777777" w:rsidR="00130188" w:rsidRPr="00130188" w:rsidRDefault="00130188" w:rsidP="00130188">
      <w:pPr>
        <w:pStyle w:val="BodyText"/>
        <w:rPr>
          <w:rFonts w:ascii="Century Gothic" w:hAnsi="Century Gothic"/>
          <w:color w:val="0C0C0C"/>
          <w:w w:val="105"/>
          <w:sz w:val="22"/>
          <w:szCs w:val="22"/>
        </w:rPr>
      </w:pPr>
      <w:r w:rsidRPr="00130188">
        <w:rPr>
          <w:rFonts w:ascii="Century Gothic" w:hAnsi="Century Gothic"/>
          <w:b/>
          <w:color w:val="0C0C0C"/>
          <w:w w:val="105"/>
          <w:sz w:val="22"/>
          <w:szCs w:val="22"/>
        </w:rPr>
        <w:t>Our Vision</w:t>
      </w:r>
      <w:r w:rsidRPr="00130188">
        <w:rPr>
          <w:rFonts w:ascii="Century Gothic" w:hAnsi="Century Gothic"/>
          <w:color w:val="0C0C0C"/>
          <w:w w:val="105"/>
          <w:sz w:val="22"/>
          <w:szCs w:val="22"/>
        </w:rPr>
        <w:t>: Be the premier investigative and legal monitoring resource driving improvement and instilling accountability at the Department of State Hospitals and the Department of Developmental Services.</w:t>
      </w:r>
    </w:p>
    <w:p w14:paraId="4848BE35" w14:textId="77777777" w:rsidR="00130188" w:rsidRPr="00130188" w:rsidRDefault="00130188" w:rsidP="00130188">
      <w:pPr>
        <w:pStyle w:val="BodyText"/>
        <w:rPr>
          <w:rFonts w:ascii="Century Gothic" w:hAnsi="Century Gothic"/>
          <w:color w:val="0C0C0C"/>
          <w:w w:val="105"/>
          <w:sz w:val="22"/>
          <w:szCs w:val="22"/>
        </w:rPr>
      </w:pPr>
    </w:p>
    <w:p w14:paraId="16AE4221" w14:textId="10F79683" w:rsidR="00FB0651" w:rsidRDefault="00130188" w:rsidP="00FB0651">
      <w:pPr>
        <w:pStyle w:val="BodyText"/>
        <w:rPr>
          <w:rFonts w:ascii="Century Gothic" w:hAnsi="Century Gothic"/>
          <w:color w:val="0C0C0C"/>
          <w:w w:val="105"/>
          <w:sz w:val="22"/>
          <w:szCs w:val="22"/>
        </w:rPr>
      </w:pPr>
      <w:r w:rsidRPr="00130188">
        <w:rPr>
          <w:rFonts w:ascii="Century Gothic" w:hAnsi="Century Gothic"/>
          <w:b/>
          <w:color w:val="0C0C0C"/>
          <w:w w:val="105"/>
          <w:sz w:val="22"/>
          <w:szCs w:val="22"/>
        </w:rPr>
        <w:t>Our Mission</w:t>
      </w:r>
      <w:r w:rsidRPr="00130188">
        <w:rPr>
          <w:rFonts w:ascii="Century Gothic" w:hAnsi="Century Gothic"/>
          <w:color w:val="0C0C0C"/>
          <w:w w:val="105"/>
          <w:sz w:val="22"/>
          <w:szCs w:val="22"/>
        </w:rPr>
        <w:t>: Ensuring the safety and security of patients and residents within California’s state hospitals and developmental centers through contemporaneous oversight, investigations and collaborative partnerships to achieve systemic improvements in policies, procedures and partnerships.</w:t>
      </w:r>
    </w:p>
    <w:p w14:paraId="485B472D" w14:textId="77777777" w:rsidR="00FB0651" w:rsidRDefault="00FB0651" w:rsidP="00FB0651">
      <w:pPr>
        <w:pStyle w:val="BodyText"/>
        <w:rPr>
          <w:rFonts w:ascii="Century Gothic" w:hAnsi="Century Gothic"/>
          <w:w w:val="105"/>
          <w:sz w:val="22"/>
        </w:rPr>
      </w:pPr>
    </w:p>
    <w:p w14:paraId="3E939DDB" w14:textId="273AD29B" w:rsidR="00130188" w:rsidRPr="008E3579" w:rsidRDefault="00130188" w:rsidP="00172CE9">
      <w:pPr>
        <w:rPr>
          <w:rFonts w:ascii="Century Gothic" w:hAnsi="Century Gothic"/>
          <w:b/>
          <w:bCs/>
          <w:w w:val="105"/>
          <w:sz w:val="22"/>
        </w:rPr>
      </w:pPr>
      <w:r w:rsidRPr="008E3579">
        <w:rPr>
          <w:rFonts w:ascii="Century Gothic" w:hAnsi="Century Gothic"/>
          <w:b/>
          <w:bCs/>
          <w:w w:val="105"/>
          <w:sz w:val="22"/>
        </w:rPr>
        <w:t>General Statement</w:t>
      </w:r>
    </w:p>
    <w:p w14:paraId="401BC22F" w14:textId="30AEA498" w:rsidR="000B79A3" w:rsidRPr="00172CE9" w:rsidRDefault="00FC172B" w:rsidP="00172CE9">
      <w:pPr>
        <w:rPr>
          <w:rFonts w:ascii="Century Gothic" w:eastAsia="Times New Roman" w:hAnsi="Century Gothic" w:cs="Arial"/>
          <w:sz w:val="22"/>
        </w:rPr>
      </w:pPr>
      <w:r w:rsidRPr="00172CE9">
        <w:rPr>
          <w:rFonts w:ascii="Century Gothic" w:hAnsi="Century Gothic" w:cs="Arial"/>
          <w:sz w:val="22"/>
        </w:rPr>
        <w:t xml:space="preserve">Under the direction of the </w:t>
      </w:r>
      <w:r w:rsidR="00C83E83">
        <w:rPr>
          <w:rFonts w:ascii="Century Gothic" w:hAnsi="Century Gothic" w:cs="Arial"/>
          <w:sz w:val="22"/>
        </w:rPr>
        <w:t>Director</w:t>
      </w:r>
      <w:r w:rsidR="008A4E0E">
        <w:rPr>
          <w:rFonts w:ascii="Century Gothic" w:hAnsi="Century Gothic" w:cs="Arial"/>
          <w:sz w:val="22"/>
        </w:rPr>
        <w:t xml:space="preserve"> of the </w:t>
      </w:r>
      <w:r w:rsidRPr="00172CE9">
        <w:rPr>
          <w:rFonts w:ascii="Century Gothic" w:hAnsi="Century Gothic" w:cs="Arial"/>
          <w:sz w:val="22"/>
        </w:rPr>
        <w:t>Office of Law Enforcement Support (OLES)</w:t>
      </w:r>
      <w:r w:rsidR="008A4E0E">
        <w:rPr>
          <w:rFonts w:ascii="Century Gothic" w:hAnsi="Century Gothic" w:cs="Arial"/>
          <w:sz w:val="22"/>
        </w:rPr>
        <w:t>,</w:t>
      </w:r>
      <w:r w:rsidRPr="00172CE9">
        <w:rPr>
          <w:rFonts w:ascii="Century Gothic" w:hAnsi="Century Gothic" w:cs="Arial"/>
          <w:sz w:val="22"/>
        </w:rPr>
        <w:t xml:space="preserve"> the Assistant Chief Counsel (ACC) </w:t>
      </w:r>
      <w:r w:rsidRPr="00172CE9">
        <w:rPr>
          <w:rFonts w:ascii="Century Gothic" w:eastAsia="Times New Roman" w:hAnsi="Century Gothic" w:cs="Arial"/>
          <w:sz w:val="22"/>
        </w:rPr>
        <w:t>will have full administrative and managerial responsibility for the statewide supervision of A</w:t>
      </w:r>
      <w:r w:rsidR="00FE6909" w:rsidRPr="00172CE9">
        <w:rPr>
          <w:rFonts w:ascii="Century Gothic" w:eastAsia="Times New Roman" w:hAnsi="Century Gothic" w:cs="Arial"/>
          <w:sz w:val="22"/>
        </w:rPr>
        <w:t>ttorney</w:t>
      </w:r>
      <w:r w:rsidR="00172CE9">
        <w:rPr>
          <w:rFonts w:ascii="Century Gothic" w:eastAsia="Times New Roman" w:hAnsi="Century Gothic" w:cs="Arial"/>
          <w:sz w:val="22"/>
        </w:rPr>
        <w:t>/</w:t>
      </w:r>
      <w:r w:rsidRPr="00172CE9">
        <w:rPr>
          <w:rFonts w:ascii="Century Gothic" w:eastAsia="Times New Roman" w:hAnsi="Century Gothic" w:cs="Arial"/>
          <w:sz w:val="22"/>
        </w:rPr>
        <w:t>I</w:t>
      </w:r>
      <w:r w:rsidR="00FE6909" w:rsidRPr="00172CE9">
        <w:rPr>
          <w:rFonts w:ascii="Century Gothic" w:eastAsia="Times New Roman" w:hAnsi="Century Gothic" w:cs="Arial"/>
          <w:sz w:val="22"/>
        </w:rPr>
        <w:t xml:space="preserve">nvestigation </w:t>
      </w:r>
      <w:r w:rsidRPr="00172CE9">
        <w:rPr>
          <w:rFonts w:ascii="Century Gothic" w:eastAsia="Times New Roman" w:hAnsi="Century Gothic" w:cs="Arial"/>
          <w:sz w:val="22"/>
        </w:rPr>
        <w:t>M</w:t>
      </w:r>
      <w:r w:rsidR="00FE6909" w:rsidRPr="00172CE9">
        <w:rPr>
          <w:rFonts w:ascii="Century Gothic" w:eastAsia="Times New Roman" w:hAnsi="Century Gothic" w:cs="Arial"/>
          <w:sz w:val="22"/>
        </w:rPr>
        <w:t>onitor</w:t>
      </w:r>
      <w:r w:rsidR="00172CE9">
        <w:rPr>
          <w:rFonts w:ascii="Century Gothic" w:eastAsia="Times New Roman" w:hAnsi="Century Gothic" w:cs="Arial"/>
          <w:sz w:val="22"/>
        </w:rPr>
        <w:t>s</w:t>
      </w:r>
      <w:r w:rsidR="00FE6909" w:rsidRPr="00172CE9">
        <w:rPr>
          <w:rFonts w:ascii="Century Gothic" w:eastAsia="Times New Roman" w:hAnsi="Century Gothic" w:cs="Arial"/>
          <w:sz w:val="22"/>
        </w:rPr>
        <w:t xml:space="preserve"> (AIM)</w:t>
      </w:r>
      <w:r w:rsidRPr="00172CE9">
        <w:rPr>
          <w:rFonts w:ascii="Century Gothic" w:eastAsia="Times New Roman" w:hAnsi="Century Gothic" w:cs="Arial"/>
          <w:sz w:val="22"/>
        </w:rPr>
        <w:t>.  The ACC will review and oversee the monitoring and reporting on sensitive, complex and controversial, or other high level investigations involving allegations of misconduct and critical incidents that occur within the California Department of State Hospitals (DSH) and the California Department of Developmental Services (DDS). The ACC will supervise the monitoring of the involved State entities, including the departments’ attorneys, th</w:t>
      </w:r>
      <w:r w:rsidR="00F84572">
        <w:rPr>
          <w:rFonts w:ascii="Century Gothic" w:eastAsia="Times New Roman" w:hAnsi="Century Gothic" w:cs="Arial"/>
          <w:sz w:val="22"/>
        </w:rPr>
        <w:t>e institutional Office</w:t>
      </w:r>
      <w:r w:rsidR="008A4E0E">
        <w:rPr>
          <w:rFonts w:ascii="Century Gothic" w:eastAsia="Times New Roman" w:hAnsi="Century Gothic" w:cs="Arial"/>
          <w:sz w:val="22"/>
        </w:rPr>
        <w:t>s</w:t>
      </w:r>
      <w:r w:rsidR="00F84572">
        <w:rPr>
          <w:rFonts w:ascii="Century Gothic" w:eastAsia="Times New Roman" w:hAnsi="Century Gothic" w:cs="Arial"/>
          <w:sz w:val="22"/>
        </w:rPr>
        <w:t xml:space="preserve"> of Protective</w:t>
      </w:r>
      <w:r w:rsidRPr="00172CE9">
        <w:rPr>
          <w:rFonts w:ascii="Century Gothic" w:eastAsia="Times New Roman" w:hAnsi="Century Gothic" w:cs="Arial"/>
          <w:sz w:val="22"/>
        </w:rPr>
        <w:t xml:space="preserve"> Services (OPS), and other departmental employees, to ensure the appropriateness of policies, practices and disciplinary decisions within the departments.</w:t>
      </w:r>
    </w:p>
    <w:p w14:paraId="787A9AD7" w14:textId="0B8E7047" w:rsidR="000B79A3" w:rsidRDefault="000B79A3" w:rsidP="00172CE9">
      <w:pPr>
        <w:rPr>
          <w:rFonts w:ascii="Century Gothic" w:eastAsia="Times New Roman" w:hAnsi="Century Gothic" w:cs="Arial"/>
          <w:sz w:val="22"/>
        </w:rPr>
      </w:pPr>
      <w:r w:rsidRPr="00172CE9">
        <w:rPr>
          <w:rFonts w:ascii="Century Gothic" w:eastAsia="Times New Roman" w:hAnsi="Century Gothic" w:cs="Arial"/>
          <w:sz w:val="22"/>
        </w:rPr>
        <w:lastRenderedPageBreak/>
        <w:t xml:space="preserve">The ACC must possess </w:t>
      </w:r>
      <w:r w:rsidR="001A0B16">
        <w:rPr>
          <w:rFonts w:ascii="Century Gothic" w:eastAsia="Times New Roman" w:hAnsi="Century Gothic" w:cs="Arial"/>
          <w:sz w:val="22"/>
        </w:rPr>
        <w:t xml:space="preserve">sound and effective </w:t>
      </w:r>
      <w:r w:rsidRPr="00172CE9">
        <w:rPr>
          <w:rFonts w:ascii="Century Gothic" w:eastAsia="Times New Roman" w:hAnsi="Century Gothic" w:cs="Arial"/>
          <w:sz w:val="22"/>
        </w:rPr>
        <w:t>communication skills, use good judgment in decision-making, exercise creativity and flexibility in problem identification and resolution, manage time and resources effectively, and be responsive to OLES management needs.</w:t>
      </w:r>
    </w:p>
    <w:p w14:paraId="3F3B3B4C" w14:textId="77777777" w:rsidR="008E3579" w:rsidRDefault="008E3579" w:rsidP="008E3579">
      <w:pPr>
        <w:pStyle w:val="Heading1"/>
        <w:spacing w:before="0"/>
        <w:rPr>
          <w:rFonts w:ascii="Century Gothic" w:hAnsi="Century Gothic"/>
          <w:sz w:val="22"/>
          <w:szCs w:val="22"/>
        </w:rPr>
      </w:pPr>
      <w:r>
        <w:rPr>
          <w:rFonts w:ascii="Century Gothic" w:hAnsi="Century Gothic"/>
          <w:sz w:val="22"/>
          <w:szCs w:val="22"/>
        </w:rPr>
        <w:t>Job Functions</w:t>
      </w:r>
    </w:p>
    <w:p w14:paraId="6EAEE49B" w14:textId="77777777" w:rsidR="008E3579" w:rsidRDefault="008E3579" w:rsidP="008E3579">
      <w:pPr>
        <w:pStyle w:val="Heading1"/>
        <w:spacing w:before="0"/>
        <w:rPr>
          <w:rFonts w:ascii="Century Gothic" w:hAnsi="Century Gothic"/>
          <w:sz w:val="22"/>
          <w:szCs w:val="22"/>
        </w:rPr>
      </w:pPr>
    </w:p>
    <w:p w14:paraId="16AA1DC8" w14:textId="16877E9B" w:rsidR="008E3579" w:rsidRDefault="008E3579" w:rsidP="008E3579">
      <w:pPr>
        <w:spacing w:after="0"/>
        <w:rPr>
          <w:rFonts w:ascii="Century Gothic" w:eastAsia="Times New Roman" w:hAnsi="Century Gothic" w:cs="Arial"/>
          <w:sz w:val="22"/>
        </w:rPr>
      </w:pPr>
      <w:r>
        <w:rPr>
          <w:rFonts w:ascii="Century Gothic" w:eastAsia="Times New Roman" w:hAnsi="Century Gothic" w:cs="Arial"/>
          <w:sz w:val="22"/>
        </w:rPr>
        <w:t>Essential Functions</w:t>
      </w:r>
    </w:p>
    <w:p w14:paraId="78DF6240" w14:textId="06CC3ED5" w:rsidR="004C57AD" w:rsidRDefault="00BC1E70" w:rsidP="008E3579">
      <w:pPr>
        <w:spacing w:after="0"/>
        <w:rPr>
          <w:rFonts w:ascii="Century Gothic" w:hAnsi="Century Gothic" w:cs="Arial"/>
          <w:sz w:val="22"/>
        </w:rPr>
      </w:pPr>
      <w:r>
        <w:rPr>
          <w:rFonts w:ascii="Century Gothic" w:eastAsia="Times New Roman" w:hAnsi="Century Gothic" w:cs="Arial"/>
          <w:sz w:val="22"/>
        </w:rPr>
        <w:t>4</w:t>
      </w:r>
      <w:r w:rsidR="00F715B8" w:rsidRPr="00172CE9">
        <w:rPr>
          <w:rFonts w:ascii="Century Gothic" w:eastAsia="Times New Roman" w:hAnsi="Century Gothic" w:cs="Arial"/>
          <w:sz w:val="22"/>
        </w:rPr>
        <w:t>0%</w:t>
      </w:r>
      <w:r w:rsidR="00F715B8" w:rsidRPr="00172CE9">
        <w:rPr>
          <w:rFonts w:ascii="Century Gothic" w:eastAsia="Times New Roman" w:hAnsi="Century Gothic" w:cs="Arial"/>
          <w:sz w:val="22"/>
        </w:rPr>
        <w:tab/>
      </w:r>
      <w:r w:rsidR="00FC172B" w:rsidRPr="00172CE9">
        <w:rPr>
          <w:rFonts w:ascii="Century Gothic" w:hAnsi="Century Gothic" w:cs="Arial"/>
          <w:sz w:val="22"/>
        </w:rPr>
        <w:t>The AIM attorneys are geographically distributed throughout the state</w:t>
      </w:r>
      <w:r w:rsidR="00A25D1E" w:rsidRPr="00172CE9">
        <w:rPr>
          <w:rFonts w:ascii="Century Gothic" w:hAnsi="Century Gothic" w:cs="Arial"/>
          <w:sz w:val="22"/>
        </w:rPr>
        <w:t xml:space="preserve">. </w:t>
      </w:r>
      <w:r w:rsidR="00FC172B" w:rsidRPr="00172CE9">
        <w:rPr>
          <w:rFonts w:ascii="Century Gothic" w:hAnsi="Century Gothic" w:cs="Arial"/>
          <w:sz w:val="22"/>
        </w:rPr>
        <w:t xml:space="preserve">It is their responsibility to monitor criminal and administrative investigations conducted by the </w:t>
      </w:r>
      <w:r w:rsidR="007B0B89" w:rsidRPr="00172CE9">
        <w:rPr>
          <w:rFonts w:ascii="Century Gothic" w:hAnsi="Century Gothic" w:cs="Arial"/>
          <w:sz w:val="22"/>
        </w:rPr>
        <w:t xml:space="preserve">Office of Protective Services (OPS) within the </w:t>
      </w:r>
      <w:r w:rsidR="00FC172B" w:rsidRPr="00172CE9">
        <w:rPr>
          <w:rFonts w:ascii="Century Gothic" w:hAnsi="Century Gothic" w:cs="Arial"/>
          <w:sz w:val="22"/>
        </w:rPr>
        <w:t>Department of State Hospitals</w:t>
      </w:r>
      <w:r w:rsidR="007B0B89" w:rsidRPr="00172CE9">
        <w:rPr>
          <w:rFonts w:ascii="Century Gothic" w:hAnsi="Century Gothic" w:cs="Arial"/>
          <w:sz w:val="22"/>
        </w:rPr>
        <w:t xml:space="preserve"> (DSH)</w:t>
      </w:r>
      <w:r w:rsidR="00FC172B" w:rsidRPr="00172CE9">
        <w:rPr>
          <w:rFonts w:ascii="Century Gothic" w:hAnsi="Century Gothic" w:cs="Arial"/>
          <w:sz w:val="22"/>
        </w:rPr>
        <w:t xml:space="preserve"> and the Department of Developmental Services</w:t>
      </w:r>
      <w:r w:rsidR="007B0B89" w:rsidRPr="00172CE9">
        <w:rPr>
          <w:rFonts w:ascii="Century Gothic" w:hAnsi="Century Gothic" w:cs="Arial"/>
          <w:sz w:val="22"/>
        </w:rPr>
        <w:t xml:space="preserve"> (DDS)</w:t>
      </w:r>
      <w:r w:rsidR="00FC172B" w:rsidRPr="00172CE9">
        <w:rPr>
          <w:rFonts w:ascii="Century Gothic" w:hAnsi="Century Gothic" w:cs="Arial"/>
          <w:sz w:val="22"/>
        </w:rPr>
        <w:t xml:space="preserve">. </w:t>
      </w:r>
      <w:r w:rsidR="007B0B89" w:rsidRPr="00172CE9">
        <w:rPr>
          <w:rFonts w:ascii="Century Gothic" w:hAnsi="Century Gothic" w:cs="Arial"/>
          <w:sz w:val="22"/>
        </w:rPr>
        <w:t>The ACC will ensure supervision of</w:t>
      </w:r>
      <w:r w:rsidR="00FC172B" w:rsidRPr="00172CE9">
        <w:rPr>
          <w:rFonts w:ascii="Century Gothic" w:hAnsi="Century Gothic" w:cs="Arial"/>
          <w:sz w:val="22"/>
        </w:rPr>
        <w:t xml:space="preserve"> attorneys;</w:t>
      </w:r>
      <w:r w:rsidR="007B0B89" w:rsidRPr="00172CE9">
        <w:rPr>
          <w:rFonts w:ascii="Century Gothic" w:hAnsi="Century Gothic" w:cs="Arial"/>
          <w:sz w:val="22"/>
        </w:rPr>
        <w:t xml:space="preserve"> maintain sep</w:t>
      </w:r>
      <w:r w:rsidR="00FC172B" w:rsidRPr="00172CE9">
        <w:rPr>
          <w:rFonts w:ascii="Century Gothic" w:hAnsi="Century Gothic" w:cs="Arial"/>
          <w:sz w:val="22"/>
        </w:rPr>
        <w:t>arate chains of supervision for monitors of criminal and administrative cases (</w:t>
      </w:r>
      <w:r w:rsidR="00FC172B" w:rsidRPr="00172CE9">
        <w:rPr>
          <w:rFonts w:ascii="Century Gothic" w:hAnsi="Century Gothic" w:cs="Arial"/>
          <w:i/>
          <w:sz w:val="22"/>
        </w:rPr>
        <w:t>Kastigar</w:t>
      </w:r>
      <w:r w:rsidR="00FC172B" w:rsidRPr="00172CE9">
        <w:rPr>
          <w:rFonts w:ascii="Century Gothic" w:hAnsi="Century Gothic" w:cs="Arial"/>
          <w:sz w:val="22"/>
        </w:rPr>
        <w:t xml:space="preserve"> issues); </w:t>
      </w:r>
      <w:r w:rsidR="007B0B89" w:rsidRPr="00172CE9">
        <w:rPr>
          <w:rFonts w:ascii="Century Gothic" w:hAnsi="Century Gothic" w:cs="Arial"/>
          <w:sz w:val="22"/>
        </w:rPr>
        <w:t xml:space="preserve">ensure </w:t>
      </w:r>
      <w:r w:rsidR="00FC172B" w:rsidRPr="00172CE9">
        <w:rPr>
          <w:rFonts w:ascii="Century Gothic" w:hAnsi="Century Gothic" w:cs="Arial"/>
          <w:sz w:val="22"/>
        </w:rPr>
        <w:t>statewide consistency of monitoring</w:t>
      </w:r>
      <w:r w:rsidR="007B0B89" w:rsidRPr="00172CE9">
        <w:rPr>
          <w:rFonts w:ascii="Century Gothic" w:hAnsi="Century Gothic" w:cs="Arial"/>
          <w:sz w:val="22"/>
        </w:rPr>
        <w:t>,</w:t>
      </w:r>
      <w:r w:rsidR="00FC172B" w:rsidRPr="00172CE9">
        <w:rPr>
          <w:rFonts w:ascii="Century Gothic" w:hAnsi="Century Gothic" w:cs="Arial"/>
          <w:sz w:val="22"/>
        </w:rPr>
        <w:t xml:space="preserve"> report writing</w:t>
      </w:r>
      <w:r w:rsidR="007B0B89" w:rsidRPr="00172CE9">
        <w:rPr>
          <w:rFonts w:ascii="Century Gothic" w:hAnsi="Century Gothic" w:cs="Arial"/>
          <w:sz w:val="22"/>
        </w:rPr>
        <w:t>, d</w:t>
      </w:r>
      <w:r w:rsidR="00FC172B" w:rsidRPr="00172CE9">
        <w:rPr>
          <w:rFonts w:ascii="Century Gothic" w:hAnsi="Century Gothic" w:cs="Arial"/>
          <w:sz w:val="22"/>
        </w:rPr>
        <w:t>isciplinary recommendations</w:t>
      </w:r>
      <w:r w:rsidR="007B0B89" w:rsidRPr="00172CE9">
        <w:rPr>
          <w:rFonts w:ascii="Century Gothic" w:hAnsi="Century Gothic" w:cs="Arial"/>
          <w:sz w:val="22"/>
        </w:rPr>
        <w:t xml:space="preserve">, provide </w:t>
      </w:r>
      <w:r w:rsidR="00FC172B" w:rsidRPr="00172CE9">
        <w:rPr>
          <w:rFonts w:ascii="Century Gothic" w:hAnsi="Century Gothic" w:cs="Arial"/>
          <w:sz w:val="22"/>
        </w:rPr>
        <w:t>executive review of disagreements with department attorney</w:t>
      </w:r>
      <w:r w:rsidR="007B0B89" w:rsidRPr="00172CE9">
        <w:rPr>
          <w:rFonts w:ascii="Century Gothic" w:hAnsi="Century Gothic" w:cs="Arial"/>
          <w:sz w:val="22"/>
        </w:rPr>
        <w:t xml:space="preserve">s and </w:t>
      </w:r>
      <w:r w:rsidR="00FC172B" w:rsidRPr="00172CE9">
        <w:rPr>
          <w:rFonts w:ascii="Century Gothic" w:hAnsi="Century Gothic" w:cs="Arial"/>
          <w:sz w:val="22"/>
        </w:rPr>
        <w:t>discuss and resolve disputes between OLES AIM and department attorneys</w:t>
      </w:r>
      <w:r w:rsidR="007B0B89" w:rsidRPr="00172CE9">
        <w:rPr>
          <w:rFonts w:ascii="Century Gothic" w:hAnsi="Century Gothic" w:cs="Arial"/>
          <w:sz w:val="22"/>
        </w:rPr>
        <w:t>.</w:t>
      </w:r>
      <w:r w:rsidR="00A25D1E" w:rsidRPr="00172CE9">
        <w:rPr>
          <w:rFonts w:ascii="Century Gothic" w:hAnsi="Century Gothic" w:cs="Arial"/>
          <w:sz w:val="22"/>
        </w:rPr>
        <w:t xml:space="preserve"> </w:t>
      </w:r>
    </w:p>
    <w:p w14:paraId="2312196B" w14:textId="77777777" w:rsidR="004C57AD" w:rsidRDefault="00FE6909" w:rsidP="00172CE9">
      <w:pPr>
        <w:rPr>
          <w:rFonts w:ascii="Century Gothic" w:hAnsi="Century Gothic" w:cs="Arial"/>
          <w:sz w:val="22"/>
        </w:rPr>
      </w:pPr>
      <w:r w:rsidRPr="00172CE9">
        <w:rPr>
          <w:rFonts w:ascii="Century Gothic" w:hAnsi="Century Gothic" w:cs="Arial"/>
          <w:sz w:val="22"/>
        </w:rPr>
        <w:t>The ACC will have primary responsibility for accepting, regularly reviewing, and closing all cases for critical incidents and independent reviews. The ACC will be responsible for determining the monitoring level and assignment of all monitored cases.  The ACC will also assign AIM attorneys to their respective institutions and liaison responsibilities. The ACC shall regularly check statute of limitations dates on pending cases and supervise the process to ensure timely completion of cases. The ACC will be responsible to ensure that all entr</w:t>
      </w:r>
      <w:r w:rsidR="00F84572">
        <w:rPr>
          <w:rFonts w:ascii="Century Gothic" w:hAnsi="Century Gothic" w:cs="Arial"/>
          <w:sz w:val="22"/>
        </w:rPr>
        <w:t>ies in the Tracking and Oversight Program</w:t>
      </w:r>
      <w:r w:rsidRPr="00172CE9">
        <w:rPr>
          <w:rFonts w:ascii="Century Gothic" w:hAnsi="Century Gothic" w:cs="Arial"/>
          <w:sz w:val="22"/>
        </w:rPr>
        <w:t xml:space="preserve"> (TOP) are done in an appropriate and timely manner. </w:t>
      </w:r>
    </w:p>
    <w:p w14:paraId="229A53DD" w14:textId="77777777" w:rsidR="004C57AD" w:rsidRDefault="00FE6909" w:rsidP="00172CE9">
      <w:pPr>
        <w:rPr>
          <w:rFonts w:ascii="Century Gothic" w:hAnsi="Century Gothic" w:cs="Arial"/>
          <w:sz w:val="22"/>
        </w:rPr>
      </w:pPr>
      <w:r w:rsidRPr="00172CE9">
        <w:rPr>
          <w:rFonts w:ascii="Century Gothic" w:hAnsi="Century Gothic" w:cs="Arial"/>
          <w:sz w:val="22"/>
        </w:rPr>
        <w:t xml:space="preserve">The ACC will attend training necessary to the performance of their duties. The ACC will also be responsible for remaining current and developing expertise in the policies and practices of the departments, as well as the following areas of the law: criminal, employment, administrative, civil and civil rights. </w:t>
      </w:r>
    </w:p>
    <w:p w14:paraId="63E6881C" w14:textId="5F7A905E" w:rsidR="003B190A" w:rsidRDefault="00FE6909" w:rsidP="00172CE9">
      <w:pPr>
        <w:rPr>
          <w:rFonts w:ascii="Century Gothic" w:hAnsi="Century Gothic" w:cs="Arial"/>
          <w:sz w:val="22"/>
        </w:rPr>
      </w:pPr>
      <w:r w:rsidRPr="00172CE9">
        <w:rPr>
          <w:rFonts w:ascii="Century Gothic" w:hAnsi="Century Gothic" w:cs="Arial"/>
          <w:sz w:val="22"/>
        </w:rPr>
        <w:t xml:space="preserve">The ACC will supervise the </w:t>
      </w:r>
      <w:r w:rsidR="008E3579" w:rsidRPr="00172CE9">
        <w:rPr>
          <w:rFonts w:ascii="Century Gothic" w:hAnsi="Century Gothic" w:cs="Arial"/>
          <w:sz w:val="22"/>
        </w:rPr>
        <w:t>day-to-day</w:t>
      </w:r>
      <w:r w:rsidRPr="00172CE9">
        <w:rPr>
          <w:rFonts w:ascii="Century Gothic" w:hAnsi="Century Gothic" w:cs="Arial"/>
          <w:sz w:val="22"/>
        </w:rPr>
        <w:t xml:space="preserve"> attendance and performance of their team, including the review of monthly timesheets and mileage logs. The ACC shall complete probation reports and annual reviews of their team members and meet regularly with t</w:t>
      </w:r>
      <w:r w:rsidR="003B190A">
        <w:rPr>
          <w:rFonts w:ascii="Century Gothic" w:hAnsi="Century Gothic" w:cs="Arial"/>
          <w:sz w:val="22"/>
        </w:rPr>
        <w:t xml:space="preserve">hem </w:t>
      </w:r>
      <w:r w:rsidRPr="00172CE9">
        <w:rPr>
          <w:rFonts w:ascii="Century Gothic" w:hAnsi="Century Gothic" w:cs="Arial"/>
          <w:sz w:val="22"/>
        </w:rPr>
        <w:t xml:space="preserve">to address any issues necessary for the proper functioning of the team in accomplishing their mission. The ACC shall assist and oversee the training of new employees, monitor, and schedule on-going training of the team and ensure all requirements are met. The ACC will handle personnel issues including the first level for any employee grievances or discipline and counseling, in accordance with State policies and the policies of OLES. </w:t>
      </w:r>
    </w:p>
    <w:p w14:paraId="1C50F639" w14:textId="1E007B6E" w:rsidR="00A25D1E" w:rsidRPr="00172CE9" w:rsidRDefault="00A25D1E" w:rsidP="00172CE9">
      <w:pPr>
        <w:rPr>
          <w:rFonts w:ascii="Century Gothic" w:hAnsi="Century Gothic" w:cs="Arial"/>
          <w:sz w:val="22"/>
        </w:rPr>
      </w:pPr>
      <w:r w:rsidRPr="00172CE9">
        <w:rPr>
          <w:rFonts w:ascii="Century Gothic" w:eastAsia="Times New Roman" w:hAnsi="Century Gothic" w:cs="Arial"/>
          <w:sz w:val="22"/>
        </w:rPr>
        <w:lastRenderedPageBreak/>
        <w:t xml:space="preserve">The ACC will attend and share responsibility for leading regular all-staff and all-AIM meetings and phone conferences, as well as attend senior manager meetings at the direction of the </w:t>
      </w:r>
      <w:r w:rsidR="00527D95">
        <w:rPr>
          <w:rFonts w:ascii="Century Gothic" w:eastAsia="Times New Roman" w:hAnsi="Century Gothic" w:cs="Arial"/>
          <w:sz w:val="22"/>
        </w:rPr>
        <w:t>Director</w:t>
      </w:r>
      <w:r w:rsidRPr="00172CE9">
        <w:rPr>
          <w:rFonts w:ascii="Century Gothic" w:eastAsia="Times New Roman" w:hAnsi="Century Gothic" w:cs="Arial"/>
          <w:sz w:val="22"/>
        </w:rPr>
        <w:t>. The ACC will oversee AIM operations, including the ordering of supplies, maintenance</w:t>
      </w:r>
      <w:r w:rsidR="00FE6909" w:rsidRPr="00172CE9">
        <w:rPr>
          <w:rFonts w:ascii="Century Gothic" w:eastAsia="Times New Roman" w:hAnsi="Century Gothic" w:cs="Arial"/>
          <w:sz w:val="22"/>
        </w:rPr>
        <w:t>,</w:t>
      </w:r>
      <w:r w:rsidRPr="00172CE9">
        <w:rPr>
          <w:rFonts w:ascii="Century Gothic" w:eastAsia="Times New Roman" w:hAnsi="Century Gothic" w:cs="Arial"/>
          <w:sz w:val="22"/>
        </w:rPr>
        <w:t xml:space="preserve"> and inventory of equipment, and interaction with the OLES administrative team to ensure the proper functioning of the regional AIM attorneys.</w:t>
      </w:r>
    </w:p>
    <w:p w14:paraId="2525BDA0" w14:textId="69D094BE" w:rsidR="007B0B89" w:rsidRPr="00172CE9" w:rsidRDefault="00BC1E70" w:rsidP="00172CE9">
      <w:pPr>
        <w:rPr>
          <w:rFonts w:ascii="Century Gothic" w:eastAsia="Times New Roman" w:hAnsi="Century Gothic" w:cs="Arial"/>
          <w:sz w:val="22"/>
        </w:rPr>
      </w:pPr>
      <w:r>
        <w:rPr>
          <w:rFonts w:ascii="Century Gothic" w:eastAsia="Times New Roman" w:hAnsi="Century Gothic" w:cs="Arial"/>
          <w:sz w:val="22"/>
        </w:rPr>
        <w:t>25</w:t>
      </w:r>
      <w:r w:rsidR="00F715B8" w:rsidRPr="00172CE9">
        <w:rPr>
          <w:rFonts w:ascii="Century Gothic" w:eastAsia="Times New Roman" w:hAnsi="Century Gothic" w:cs="Arial"/>
          <w:sz w:val="22"/>
        </w:rPr>
        <w:t>%</w:t>
      </w:r>
      <w:r w:rsidR="00F715B8" w:rsidRPr="00172CE9">
        <w:rPr>
          <w:rFonts w:ascii="Century Gothic" w:eastAsia="Times New Roman" w:hAnsi="Century Gothic" w:cs="Arial"/>
          <w:sz w:val="22"/>
        </w:rPr>
        <w:tab/>
      </w:r>
      <w:r w:rsidR="00FC172B" w:rsidRPr="00172CE9">
        <w:rPr>
          <w:rFonts w:ascii="Century Gothic" w:eastAsia="Times New Roman" w:hAnsi="Century Gothic" w:cs="Arial"/>
          <w:sz w:val="22"/>
        </w:rPr>
        <w:t>The ACC s</w:t>
      </w:r>
      <w:r w:rsidR="00F715B8" w:rsidRPr="00172CE9">
        <w:rPr>
          <w:rFonts w:ascii="Century Gothic" w:eastAsia="Times New Roman" w:hAnsi="Century Gothic" w:cs="Arial"/>
          <w:sz w:val="22"/>
        </w:rPr>
        <w:t>hall regularly visit all State H</w:t>
      </w:r>
      <w:r w:rsidR="00FC172B" w:rsidRPr="00172CE9">
        <w:rPr>
          <w:rFonts w:ascii="Century Gothic" w:eastAsia="Times New Roman" w:hAnsi="Century Gothic" w:cs="Arial"/>
          <w:sz w:val="22"/>
        </w:rPr>
        <w:t>ospitals</w:t>
      </w:r>
      <w:r w:rsidR="003B190A">
        <w:rPr>
          <w:rFonts w:ascii="Century Gothic" w:eastAsia="Times New Roman" w:hAnsi="Century Gothic" w:cs="Arial"/>
          <w:sz w:val="22"/>
        </w:rPr>
        <w:t xml:space="preserve">, </w:t>
      </w:r>
      <w:r w:rsidR="00FC172B" w:rsidRPr="00172CE9">
        <w:rPr>
          <w:rFonts w:ascii="Century Gothic" w:eastAsia="Times New Roman" w:hAnsi="Century Gothic" w:cs="Arial"/>
          <w:sz w:val="22"/>
        </w:rPr>
        <w:t>Developmental Centers</w:t>
      </w:r>
      <w:r w:rsidR="003B190A">
        <w:rPr>
          <w:rFonts w:ascii="Century Gothic" w:eastAsia="Times New Roman" w:hAnsi="Century Gothic" w:cs="Arial"/>
          <w:sz w:val="22"/>
        </w:rPr>
        <w:t>,</w:t>
      </w:r>
      <w:r w:rsidR="00FC172B" w:rsidRPr="00172CE9">
        <w:rPr>
          <w:rFonts w:ascii="Century Gothic" w:eastAsia="Times New Roman" w:hAnsi="Century Gothic" w:cs="Arial"/>
          <w:sz w:val="22"/>
        </w:rPr>
        <w:t xml:space="preserve"> and OPS offices to meet with the managers and assess the performance of their AIM team and address any other issues of mutual concern. The ACC will serve as a back-up for team members on any critical monitoring tasks that they are unable to perform, including the review of reports, attendance at interviews, case discipline meetings, or State Personnel Board hearings. The ACC shall meet regularly with the departments’ Chief Counsels, the departments’ Police Chiefs, the institutional Police Chiefs and Commanders, institutional Executive Directors, Hospital Administrators and other relevant executive staff.</w:t>
      </w:r>
    </w:p>
    <w:p w14:paraId="0E098A3D" w14:textId="1B6776CF" w:rsidR="003B190A" w:rsidRDefault="00527D95" w:rsidP="00172CE9">
      <w:pPr>
        <w:rPr>
          <w:rFonts w:ascii="Century Gothic" w:hAnsi="Century Gothic" w:cs="Arial"/>
          <w:sz w:val="22"/>
        </w:rPr>
      </w:pPr>
      <w:r>
        <w:rPr>
          <w:rFonts w:ascii="Century Gothic" w:eastAsia="Times New Roman" w:hAnsi="Century Gothic" w:cs="Arial"/>
          <w:sz w:val="22"/>
        </w:rPr>
        <w:t>2</w:t>
      </w:r>
      <w:r w:rsidR="00BC1E70">
        <w:rPr>
          <w:rFonts w:ascii="Century Gothic" w:eastAsia="Times New Roman" w:hAnsi="Century Gothic" w:cs="Arial"/>
          <w:sz w:val="22"/>
        </w:rPr>
        <w:t>5</w:t>
      </w:r>
      <w:r w:rsidR="00F715B8" w:rsidRPr="00172CE9">
        <w:rPr>
          <w:rFonts w:ascii="Century Gothic" w:eastAsia="Times New Roman" w:hAnsi="Century Gothic" w:cs="Arial"/>
          <w:sz w:val="22"/>
        </w:rPr>
        <w:t>%</w:t>
      </w:r>
      <w:r w:rsidR="00F715B8" w:rsidRPr="00172CE9">
        <w:rPr>
          <w:rFonts w:ascii="Century Gothic" w:eastAsia="Times New Roman" w:hAnsi="Century Gothic" w:cs="Arial"/>
          <w:sz w:val="22"/>
        </w:rPr>
        <w:tab/>
      </w:r>
      <w:r w:rsidR="00873CDA" w:rsidRPr="00172CE9">
        <w:rPr>
          <w:rFonts w:ascii="Century Gothic" w:eastAsia="Times New Roman" w:hAnsi="Century Gothic" w:cs="Arial"/>
          <w:sz w:val="22"/>
        </w:rPr>
        <w:t xml:space="preserve">The ACC will review and oversee the monitoring and reporting on sensitive, complex and controversial, or other high level investigations involving allegations of misconduct, and critical incidents that occur within the California Department of State Hospitals (DSH) and the California Department of Developmental Services (DDS). </w:t>
      </w:r>
      <w:r w:rsidR="00FC172B" w:rsidRPr="00172CE9">
        <w:rPr>
          <w:rFonts w:ascii="Century Gothic" w:hAnsi="Century Gothic" w:cs="Arial"/>
          <w:sz w:val="22"/>
        </w:rPr>
        <w:t xml:space="preserve">In cases involving higher ranking departmental employees or highly sensitive cases, the ACC will have the same responsibilities as an AIM attorney for monitoring and reporting.  </w:t>
      </w:r>
    </w:p>
    <w:p w14:paraId="68C58A8B" w14:textId="37D36313" w:rsidR="00FF54DE" w:rsidRPr="00527D95" w:rsidRDefault="00FC172B" w:rsidP="00172CE9">
      <w:pPr>
        <w:rPr>
          <w:rFonts w:ascii="Century Gothic" w:hAnsi="Century Gothic" w:cs="Arial"/>
          <w:sz w:val="22"/>
        </w:rPr>
      </w:pPr>
      <w:r w:rsidRPr="00172CE9">
        <w:rPr>
          <w:rFonts w:ascii="Century Gothic" w:hAnsi="Century Gothic" w:cs="Arial"/>
          <w:sz w:val="22"/>
        </w:rPr>
        <w:t>In addition to their own cases, the ACC shall review all cases submitted by AIM attorneys for publication in the Semi-Annual Report (SAR) prepared by OLES. The ACC will supervise the quality control process for their team in conjunction with the requirements of the publication process. The ACC may be tasked to author special reports or supervise the preparation of special reports by their team involving a specific case, issue, trend, or problem within the departments monitored by CHHS OLES.</w:t>
      </w:r>
    </w:p>
    <w:p w14:paraId="7D60E5FC" w14:textId="5FDA4BCB" w:rsidR="00FC172B" w:rsidRPr="00172CE9" w:rsidRDefault="00527D95" w:rsidP="00172CE9">
      <w:pPr>
        <w:rPr>
          <w:rFonts w:ascii="Century Gothic" w:eastAsia="Times New Roman" w:hAnsi="Century Gothic" w:cs="Arial"/>
          <w:sz w:val="22"/>
        </w:rPr>
      </w:pPr>
      <w:r>
        <w:rPr>
          <w:rFonts w:ascii="Century Gothic" w:eastAsia="Times New Roman" w:hAnsi="Century Gothic" w:cs="Arial"/>
          <w:sz w:val="22"/>
        </w:rPr>
        <w:t>10</w:t>
      </w:r>
      <w:r w:rsidR="00FF54DE" w:rsidRPr="00172CE9">
        <w:rPr>
          <w:rFonts w:ascii="Century Gothic" w:eastAsia="Times New Roman" w:hAnsi="Century Gothic" w:cs="Arial"/>
          <w:sz w:val="22"/>
        </w:rPr>
        <w:t>%</w:t>
      </w:r>
      <w:r w:rsidR="00FF54DE" w:rsidRPr="00172CE9">
        <w:rPr>
          <w:rFonts w:ascii="Century Gothic" w:eastAsia="Times New Roman" w:hAnsi="Century Gothic" w:cs="Arial"/>
          <w:sz w:val="22"/>
        </w:rPr>
        <w:tab/>
      </w:r>
      <w:r w:rsidR="00CE1DD5">
        <w:rPr>
          <w:rFonts w:ascii="Century Gothic" w:eastAsia="Times New Roman" w:hAnsi="Century Gothic" w:cs="Arial"/>
          <w:sz w:val="22"/>
        </w:rPr>
        <w:t>The ACC will assis</w:t>
      </w:r>
      <w:r w:rsidR="00FF54DE" w:rsidRPr="00172CE9">
        <w:rPr>
          <w:rFonts w:ascii="Century Gothic" w:eastAsia="Times New Roman" w:hAnsi="Century Gothic" w:cs="Arial"/>
          <w:sz w:val="22"/>
        </w:rPr>
        <w:t>t as needed in providing data and information for t</w:t>
      </w:r>
      <w:r w:rsidR="008C0912" w:rsidRPr="00172CE9">
        <w:rPr>
          <w:rFonts w:ascii="Century Gothic" w:eastAsia="Times New Roman" w:hAnsi="Century Gothic" w:cs="Arial"/>
          <w:sz w:val="22"/>
        </w:rPr>
        <w:t xml:space="preserve">he </w:t>
      </w:r>
      <w:r w:rsidR="00172CE9">
        <w:rPr>
          <w:rFonts w:ascii="Century Gothic" w:eastAsia="Times New Roman" w:hAnsi="Century Gothic" w:cs="Arial"/>
          <w:sz w:val="22"/>
        </w:rPr>
        <w:t>SAR</w:t>
      </w:r>
      <w:r w:rsidR="008C0912" w:rsidRPr="00172CE9">
        <w:rPr>
          <w:rFonts w:ascii="Century Gothic" w:eastAsia="Times New Roman" w:hAnsi="Century Gothic" w:cs="Arial"/>
          <w:sz w:val="22"/>
        </w:rPr>
        <w:t xml:space="preserve"> to the Governor and Legislature, compiling statistics, and composing sections of the SAR as requested.  Other duties as assigned.</w:t>
      </w:r>
    </w:p>
    <w:p w14:paraId="5C4F28DF" w14:textId="77777777" w:rsidR="00130188" w:rsidRPr="00172CE9" w:rsidRDefault="00130188" w:rsidP="00130188">
      <w:pPr>
        <w:pStyle w:val="Heading1"/>
        <w:rPr>
          <w:rFonts w:ascii="Century Gothic" w:hAnsi="Century Gothic"/>
          <w:sz w:val="22"/>
          <w:szCs w:val="22"/>
        </w:rPr>
      </w:pPr>
      <w:r w:rsidRPr="00172CE9">
        <w:rPr>
          <w:rFonts w:ascii="Century Gothic" w:hAnsi="Century Gothic"/>
          <w:sz w:val="22"/>
          <w:szCs w:val="22"/>
        </w:rPr>
        <w:t>Supervision Received</w:t>
      </w:r>
    </w:p>
    <w:p w14:paraId="63DFE7C0" w14:textId="02C56CA2" w:rsidR="00130188" w:rsidRPr="00172CE9" w:rsidRDefault="00130188" w:rsidP="00130188">
      <w:pPr>
        <w:rPr>
          <w:rFonts w:ascii="Century Gothic" w:hAnsi="Century Gothic"/>
          <w:sz w:val="22"/>
        </w:rPr>
      </w:pPr>
      <w:r w:rsidRPr="00172CE9">
        <w:rPr>
          <w:rFonts w:ascii="Century Gothic" w:hAnsi="Century Gothic"/>
          <w:sz w:val="22"/>
        </w:rPr>
        <w:t xml:space="preserve">The </w:t>
      </w:r>
      <w:r>
        <w:rPr>
          <w:rFonts w:ascii="Century Gothic" w:hAnsi="Century Gothic"/>
          <w:sz w:val="22"/>
        </w:rPr>
        <w:t xml:space="preserve">ACC </w:t>
      </w:r>
      <w:r w:rsidRPr="00172CE9">
        <w:rPr>
          <w:rFonts w:ascii="Century Gothic" w:hAnsi="Century Gothic"/>
          <w:sz w:val="22"/>
        </w:rPr>
        <w:t xml:space="preserve">reports directly to the </w:t>
      </w:r>
      <w:r w:rsidR="00527D95">
        <w:rPr>
          <w:rFonts w:ascii="Century Gothic" w:hAnsi="Century Gothic"/>
          <w:sz w:val="22"/>
        </w:rPr>
        <w:t>Director</w:t>
      </w:r>
    </w:p>
    <w:p w14:paraId="1FCA8A71" w14:textId="77777777" w:rsidR="00130188" w:rsidRPr="00172CE9" w:rsidRDefault="00130188" w:rsidP="00130188">
      <w:pPr>
        <w:pStyle w:val="Heading1"/>
        <w:rPr>
          <w:rFonts w:ascii="Century Gothic" w:hAnsi="Century Gothic"/>
          <w:sz w:val="22"/>
          <w:szCs w:val="22"/>
        </w:rPr>
      </w:pPr>
      <w:r w:rsidRPr="00172CE9">
        <w:rPr>
          <w:rFonts w:ascii="Century Gothic" w:hAnsi="Century Gothic"/>
          <w:sz w:val="22"/>
          <w:szCs w:val="22"/>
        </w:rPr>
        <w:t>Supervision Exercised</w:t>
      </w:r>
    </w:p>
    <w:p w14:paraId="382DD4C9" w14:textId="33B990D0" w:rsidR="002675EE" w:rsidRPr="00172CE9" w:rsidRDefault="00F84572" w:rsidP="00172CE9">
      <w:pPr>
        <w:rPr>
          <w:rFonts w:ascii="Century Gothic" w:hAnsi="Century Gothic"/>
          <w:sz w:val="22"/>
        </w:rPr>
      </w:pPr>
      <w:r>
        <w:rPr>
          <w:rFonts w:ascii="Century Gothic" w:hAnsi="Century Gothic"/>
          <w:sz w:val="22"/>
        </w:rPr>
        <w:t>The ACC supervises all AIM attorneys</w:t>
      </w:r>
    </w:p>
    <w:p w14:paraId="514904A6" w14:textId="77777777" w:rsidR="00BD03DF" w:rsidRPr="00BD03DF" w:rsidRDefault="00130188" w:rsidP="00527D95">
      <w:pPr>
        <w:pStyle w:val="Heading1"/>
        <w:rPr>
          <w:rFonts w:ascii="Century Gothic" w:hAnsi="Century Gothic"/>
          <w:sz w:val="22"/>
          <w:szCs w:val="22"/>
        </w:rPr>
      </w:pPr>
      <w:r w:rsidRPr="00172CE9">
        <w:rPr>
          <w:rFonts w:ascii="Century Gothic" w:hAnsi="Century Gothic"/>
          <w:sz w:val="22"/>
          <w:szCs w:val="22"/>
        </w:rPr>
        <w:t>Desirable Qualifications</w:t>
      </w:r>
      <w:r w:rsidRPr="00BD03DF">
        <w:rPr>
          <w:rFonts w:ascii="Century Gothic" w:hAnsi="Century Gothic"/>
          <w:sz w:val="22"/>
          <w:szCs w:val="22"/>
        </w:rPr>
        <w:t xml:space="preserve"> </w:t>
      </w:r>
    </w:p>
    <w:p w14:paraId="74F7D67B" w14:textId="77777777" w:rsidR="00527D95" w:rsidRDefault="00527D95" w:rsidP="00172CE9">
      <w:pPr>
        <w:rPr>
          <w:rFonts w:ascii="Century Gothic" w:hAnsi="Century Gothic" w:cs="Arial"/>
          <w:sz w:val="22"/>
        </w:rPr>
      </w:pPr>
    </w:p>
    <w:p w14:paraId="79444824" w14:textId="6AE52CE2" w:rsidR="00BD03DF" w:rsidRPr="00527D95" w:rsidRDefault="00BD03DF" w:rsidP="00527D95">
      <w:pPr>
        <w:pStyle w:val="ListParagraph"/>
        <w:numPr>
          <w:ilvl w:val="0"/>
          <w:numId w:val="5"/>
        </w:numPr>
        <w:rPr>
          <w:rFonts w:ascii="Century Gothic" w:hAnsi="Century Gothic"/>
        </w:rPr>
      </w:pPr>
      <w:r w:rsidRPr="00527D95">
        <w:rPr>
          <w:rFonts w:ascii="Century Gothic" w:hAnsi="Century Gothic"/>
        </w:rPr>
        <w:lastRenderedPageBreak/>
        <w:t>Experience presenting cases before the State Personnel Board.</w:t>
      </w:r>
    </w:p>
    <w:p w14:paraId="4B90863D" w14:textId="77777777" w:rsidR="00BD03DF" w:rsidRPr="00172CE9" w:rsidRDefault="00BD03DF" w:rsidP="00BD03DF">
      <w:pPr>
        <w:pStyle w:val="ListParagraph"/>
        <w:widowControl/>
        <w:numPr>
          <w:ilvl w:val="0"/>
          <w:numId w:val="5"/>
        </w:numPr>
        <w:autoSpaceDE/>
        <w:autoSpaceDN/>
        <w:spacing w:after="160" w:line="259" w:lineRule="auto"/>
        <w:contextualSpacing/>
        <w:jc w:val="both"/>
        <w:rPr>
          <w:rFonts w:ascii="Century Gothic" w:hAnsi="Century Gothic"/>
        </w:rPr>
      </w:pPr>
      <w:r w:rsidRPr="00172CE9">
        <w:rPr>
          <w:rFonts w:ascii="Century Gothic" w:hAnsi="Century Gothic"/>
        </w:rPr>
        <w:t>Knowledge of Employment Law and Criminal Law and Procedure.</w:t>
      </w:r>
    </w:p>
    <w:p w14:paraId="027AA110" w14:textId="716A6240" w:rsidR="00BD03DF" w:rsidRPr="00172CE9" w:rsidRDefault="00BD03DF" w:rsidP="00BD03DF">
      <w:pPr>
        <w:pStyle w:val="ListParagraph"/>
        <w:widowControl/>
        <w:numPr>
          <w:ilvl w:val="0"/>
          <w:numId w:val="5"/>
        </w:numPr>
        <w:autoSpaceDE/>
        <w:autoSpaceDN/>
        <w:spacing w:after="160" w:line="259" w:lineRule="auto"/>
        <w:contextualSpacing/>
        <w:jc w:val="both"/>
        <w:rPr>
          <w:rFonts w:ascii="Century Gothic" w:hAnsi="Century Gothic"/>
        </w:rPr>
      </w:pPr>
      <w:r w:rsidRPr="00172CE9">
        <w:rPr>
          <w:rFonts w:ascii="Century Gothic" w:hAnsi="Century Gothic"/>
        </w:rPr>
        <w:t>Knowledge of P</w:t>
      </w:r>
      <w:r w:rsidR="00A33A17">
        <w:rPr>
          <w:rFonts w:ascii="Century Gothic" w:hAnsi="Century Gothic"/>
        </w:rPr>
        <w:t>ublic Safety</w:t>
      </w:r>
      <w:r w:rsidRPr="00172CE9">
        <w:rPr>
          <w:rFonts w:ascii="Century Gothic" w:hAnsi="Century Gothic"/>
        </w:rPr>
        <w:t xml:space="preserve"> Officer</w:t>
      </w:r>
      <w:r w:rsidR="00A33A17">
        <w:rPr>
          <w:rFonts w:ascii="Century Gothic" w:hAnsi="Century Gothic"/>
        </w:rPr>
        <w:t>s Procedural</w:t>
      </w:r>
      <w:r w:rsidRPr="00172CE9">
        <w:rPr>
          <w:rFonts w:ascii="Century Gothic" w:hAnsi="Century Gothic"/>
        </w:rPr>
        <w:t xml:space="preserve"> Bill of Rights (POBR)</w:t>
      </w:r>
    </w:p>
    <w:p w14:paraId="3581A08E" w14:textId="77777777" w:rsidR="00BD03DF" w:rsidRPr="00172CE9" w:rsidRDefault="00BD03DF" w:rsidP="00BD03DF">
      <w:pPr>
        <w:pStyle w:val="ListParagraph"/>
        <w:widowControl/>
        <w:numPr>
          <w:ilvl w:val="0"/>
          <w:numId w:val="5"/>
        </w:numPr>
        <w:autoSpaceDE/>
        <w:autoSpaceDN/>
        <w:spacing w:after="160" w:line="259" w:lineRule="auto"/>
        <w:contextualSpacing/>
        <w:jc w:val="both"/>
        <w:rPr>
          <w:rFonts w:ascii="Century Gothic" w:hAnsi="Century Gothic"/>
        </w:rPr>
      </w:pPr>
      <w:r w:rsidRPr="00172CE9">
        <w:rPr>
          <w:rFonts w:ascii="Century Gothic" w:hAnsi="Century Gothic"/>
        </w:rPr>
        <w:t>Background and experience in monitoring administrative and criminal investigations.</w:t>
      </w:r>
    </w:p>
    <w:p w14:paraId="48F934D7" w14:textId="77777777" w:rsidR="00BD03DF" w:rsidRPr="00172CE9" w:rsidRDefault="00BD03DF" w:rsidP="00BD03DF">
      <w:pPr>
        <w:pStyle w:val="ListParagraph"/>
        <w:widowControl/>
        <w:numPr>
          <w:ilvl w:val="0"/>
          <w:numId w:val="5"/>
        </w:numPr>
        <w:autoSpaceDE/>
        <w:autoSpaceDN/>
        <w:spacing w:after="160" w:line="259" w:lineRule="auto"/>
        <w:contextualSpacing/>
        <w:jc w:val="both"/>
        <w:rPr>
          <w:rFonts w:ascii="Century Gothic" w:hAnsi="Century Gothic"/>
        </w:rPr>
      </w:pPr>
      <w:r w:rsidRPr="00172CE9">
        <w:rPr>
          <w:rFonts w:ascii="Century Gothic" w:hAnsi="Century Gothic"/>
        </w:rPr>
        <w:t>Background and experience monitoring attorneys and disciplinary officers as they prosecute employee disciplinary cases</w:t>
      </w:r>
    </w:p>
    <w:p w14:paraId="1B6CF100" w14:textId="77777777" w:rsidR="00BD03DF" w:rsidRPr="00172CE9" w:rsidRDefault="00BD03DF" w:rsidP="00BD03DF">
      <w:pPr>
        <w:pStyle w:val="ListParagraph"/>
        <w:widowControl/>
        <w:numPr>
          <w:ilvl w:val="0"/>
          <w:numId w:val="5"/>
        </w:numPr>
        <w:autoSpaceDE/>
        <w:autoSpaceDN/>
        <w:spacing w:after="160" w:line="259" w:lineRule="auto"/>
        <w:contextualSpacing/>
        <w:jc w:val="both"/>
        <w:rPr>
          <w:rFonts w:ascii="Century Gothic" w:hAnsi="Century Gothic"/>
        </w:rPr>
      </w:pPr>
      <w:r w:rsidRPr="00172CE9">
        <w:rPr>
          <w:rFonts w:ascii="Century Gothic" w:hAnsi="Century Gothic"/>
        </w:rPr>
        <w:t xml:space="preserve">Background and experience monitoring an employee disciplinary process </w:t>
      </w:r>
    </w:p>
    <w:p w14:paraId="3D665F1F" w14:textId="77777777" w:rsidR="00BD03DF" w:rsidRPr="00172CE9" w:rsidRDefault="00BD03DF" w:rsidP="00BD03DF">
      <w:pPr>
        <w:pStyle w:val="ListParagraph"/>
        <w:widowControl/>
        <w:numPr>
          <w:ilvl w:val="0"/>
          <w:numId w:val="5"/>
        </w:numPr>
        <w:autoSpaceDE/>
        <w:autoSpaceDN/>
        <w:spacing w:after="160" w:line="259" w:lineRule="auto"/>
        <w:contextualSpacing/>
        <w:jc w:val="both"/>
        <w:rPr>
          <w:rFonts w:ascii="Century Gothic" w:hAnsi="Century Gothic"/>
        </w:rPr>
      </w:pPr>
      <w:r w:rsidRPr="00172CE9">
        <w:rPr>
          <w:rFonts w:ascii="Century Gothic" w:hAnsi="Century Gothic"/>
        </w:rPr>
        <w:t>Knowledge of and demonstrated effectiveness in formulating, developing, and implementing policies and procedures affecting specialized law enforcement and investigative services</w:t>
      </w:r>
    </w:p>
    <w:p w14:paraId="1B5C051A" w14:textId="19481AE7" w:rsidR="00BD03DF" w:rsidRPr="00172CE9" w:rsidRDefault="00BD03DF" w:rsidP="00BD03DF">
      <w:pPr>
        <w:pStyle w:val="ListParagraph"/>
        <w:widowControl/>
        <w:numPr>
          <w:ilvl w:val="0"/>
          <w:numId w:val="5"/>
        </w:numPr>
        <w:autoSpaceDE/>
        <w:autoSpaceDN/>
        <w:spacing w:after="160" w:line="259" w:lineRule="auto"/>
        <w:contextualSpacing/>
        <w:jc w:val="both"/>
        <w:rPr>
          <w:rFonts w:ascii="Century Gothic" w:hAnsi="Century Gothic"/>
        </w:rPr>
      </w:pPr>
      <w:r w:rsidRPr="00172CE9">
        <w:rPr>
          <w:rFonts w:ascii="Century Gothic" w:hAnsi="Century Gothic"/>
        </w:rPr>
        <w:t>Knowledge of applicable criminal and civil laws and regulations pertaining to DSH and DDS, including but not limited to the California Penal Code, Health and Safety Code, Welfare and Institutions Code, Business and Professions Code, Government Code, and the California Code of Regulations</w:t>
      </w:r>
    </w:p>
    <w:p w14:paraId="343C6BF2" w14:textId="77777777" w:rsidR="00BD03DF" w:rsidRPr="00172CE9" w:rsidRDefault="00BD03DF" w:rsidP="00BD03DF">
      <w:pPr>
        <w:pStyle w:val="ListParagraph"/>
        <w:widowControl/>
        <w:numPr>
          <w:ilvl w:val="0"/>
          <w:numId w:val="5"/>
        </w:numPr>
        <w:autoSpaceDE/>
        <w:autoSpaceDN/>
        <w:spacing w:after="160" w:line="259" w:lineRule="auto"/>
        <w:contextualSpacing/>
        <w:jc w:val="both"/>
        <w:rPr>
          <w:rFonts w:ascii="Century Gothic" w:hAnsi="Century Gothic"/>
        </w:rPr>
      </w:pPr>
      <w:r w:rsidRPr="00172CE9">
        <w:rPr>
          <w:rFonts w:ascii="Century Gothic" w:hAnsi="Century Gothic"/>
        </w:rPr>
        <w:t>Ability to effectively communicate law enforcement policies, procedures, and best practices, both orally and in writing</w:t>
      </w:r>
    </w:p>
    <w:p w14:paraId="0D05F0EB" w14:textId="77777777" w:rsidR="00BD03DF" w:rsidRPr="00172CE9" w:rsidRDefault="00BD03DF" w:rsidP="00BD03DF">
      <w:pPr>
        <w:pStyle w:val="ListParagraph"/>
        <w:widowControl/>
        <w:numPr>
          <w:ilvl w:val="0"/>
          <w:numId w:val="5"/>
        </w:numPr>
        <w:autoSpaceDE/>
        <w:autoSpaceDN/>
        <w:spacing w:after="160" w:line="259" w:lineRule="auto"/>
        <w:contextualSpacing/>
        <w:jc w:val="both"/>
        <w:rPr>
          <w:rFonts w:ascii="Century Gothic" w:hAnsi="Century Gothic"/>
        </w:rPr>
      </w:pPr>
      <w:r w:rsidRPr="00172CE9">
        <w:rPr>
          <w:rFonts w:ascii="Century Gothic" w:hAnsi="Century Gothic"/>
        </w:rPr>
        <w:t>Interpersonal skills, including working effectively and in partnership with departments and all levels of staff, the Governor’s Office, Department of Finance, California State Legislators, Legislative staff, Legislative Analyst’s Office, stakeholders, and outside organizations</w:t>
      </w:r>
    </w:p>
    <w:p w14:paraId="37F81E38" w14:textId="77777777" w:rsidR="00BD03DF" w:rsidRPr="00172CE9" w:rsidRDefault="00BD03DF" w:rsidP="00BD03DF">
      <w:pPr>
        <w:pStyle w:val="ListParagraph"/>
        <w:widowControl/>
        <w:numPr>
          <w:ilvl w:val="0"/>
          <w:numId w:val="5"/>
        </w:numPr>
        <w:autoSpaceDE/>
        <w:autoSpaceDN/>
        <w:spacing w:after="160" w:line="259" w:lineRule="auto"/>
        <w:contextualSpacing/>
        <w:jc w:val="both"/>
        <w:rPr>
          <w:rFonts w:ascii="Century Gothic" w:hAnsi="Century Gothic"/>
        </w:rPr>
      </w:pPr>
      <w:r w:rsidRPr="00172CE9">
        <w:rPr>
          <w:rFonts w:ascii="Century Gothic" w:hAnsi="Century Gothic"/>
        </w:rPr>
        <w:t>Experience with complex law enforcement and investigative programs</w:t>
      </w:r>
    </w:p>
    <w:p w14:paraId="44AC22AF" w14:textId="5A503CC7" w:rsidR="00BD03DF" w:rsidRDefault="00BD03DF" w:rsidP="00BD03DF">
      <w:pPr>
        <w:pStyle w:val="ListParagraph"/>
        <w:widowControl/>
        <w:numPr>
          <w:ilvl w:val="0"/>
          <w:numId w:val="5"/>
        </w:numPr>
        <w:autoSpaceDE/>
        <w:autoSpaceDN/>
        <w:spacing w:after="160" w:line="259" w:lineRule="auto"/>
        <w:contextualSpacing/>
        <w:jc w:val="both"/>
        <w:rPr>
          <w:rFonts w:ascii="Century Gothic" w:hAnsi="Century Gothic"/>
        </w:rPr>
      </w:pPr>
      <w:r w:rsidRPr="00172CE9">
        <w:rPr>
          <w:rFonts w:ascii="Century Gothic" w:hAnsi="Century Gothic"/>
        </w:rPr>
        <w:t>Knowledge of the organization and structure of California state government, specifically of agencies and other departments who have regular contact with the OLES, including the Department of State Hospitals, Department of Developmental Services, Health and Human Services Agency, Attorney General’s Office, California Highway Patrol, local law enforcement agencies, and District Attorneys</w:t>
      </w:r>
      <w:r w:rsidR="00935AC1">
        <w:rPr>
          <w:rFonts w:ascii="Century Gothic" w:hAnsi="Century Gothic"/>
        </w:rPr>
        <w:t>.</w:t>
      </w:r>
    </w:p>
    <w:p w14:paraId="244462F7" w14:textId="77777777" w:rsidR="00130188" w:rsidRPr="00172CE9" w:rsidRDefault="00130188" w:rsidP="00130188">
      <w:pPr>
        <w:pStyle w:val="Heading1"/>
        <w:rPr>
          <w:rFonts w:ascii="Century Gothic" w:hAnsi="Century Gothic"/>
          <w:sz w:val="22"/>
          <w:szCs w:val="22"/>
        </w:rPr>
      </w:pPr>
      <w:r w:rsidRPr="00172CE9">
        <w:rPr>
          <w:rFonts w:ascii="Century Gothic" w:hAnsi="Century Gothic"/>
          <w:sz w:val="22"/>
          <w:szCs w:val="22"/>
        </w:rPr>
        <w:t>Acknowledgement and Signatures</w:t>
      </w:r>
    </w:p>
    <w:p w14:paraId="6E956476" w14:textId="77777777" w:rsidR="00130188" w:rsidRPr="00172CE9" w:rsidRDefault="00130188" w:rsidP="00130188">
      <w:pPr>
        <w:rPr>
          <w:rFonts w:ascii="Century Gothic" w:hAnsi="Century Gothic"/>
          <w:sz w:val="22"/>
        </w:rPr>
      </w:pPr>
      <w:r w:rsidRPr="00172CE9">
        <w:rPr>
          <w:rFonts w:ascii="Century Gothic" w:hAnsi="Century Gothic"/>
          <w:b/>
          <w:sz w:val="22"/>
        </w:rPr>
        <w:t xml:space="preserve">I have read and understand the duties listed above and I can perform these duties with or without reasonable </w:t>
      </w:r>
      <w:proofErr w:type="gramStart"/>
      <w:r w:rsidRPr="00172CE9">
        <w:rPr>
          <w:rFonts w:ascii="Century Gothic" w:hAnsi="Century Gothic"/>
          <w:b/>
          <w:sz w:val="22"/>
        </w:rPr>
        <w:t>accommodation.*</w:t>
      </w:r>
      <w:proofErr w:type="gramEnd"/>
      <w:r w:rsidRPr="00172CE9">
        <w:rPr>
          <w:rFonts w:ascii="Century Gothic" w:hAnsi="Century Gothic"/>
          <w:sz w:val="22"/>
        </w:rPr>
        <w:t xml:space="preserve"> (If you believe reasonable accommodation is necessary, discuss your concerns with the hiring supervisor. If unsure of a need for reasonable accommodation, inform the hiring supervisor, who will discuss your concerns with the Personnel analyst.)</w:t>
      </w:r>
    </w:p>
    <w:p w14:paraId="3A40BE77" w14:textId="77777777" w:rsidR="00130188" w:rsidRPr="00172CE9" w:rsidRDefault="00130188" w:rsidP="00172CE9">
      <w:pPr>
        <w:rPr>
          <w:rFonts w:ascii="Century Gothic" w:hAnsi="Century Gothic"/>
          <w:i/>
          <w:sz w:val="22"/>
        </w:rPr>
      </w:pPr>
      <w:r w:rsidRPr="00172CE9">
        <w:rPr>
          <w:rFonts w:ascii="Century Gothic" w:hAnsi="Century Gothic"/>
          <w:i/>
          <w:sz w:val="22"/>
        </w:rPr>
        <w:t>*A reasonable accommodation is any modification or adjustment made to a job, work environment, or employment practice or process that enables an individual with a disability or medical condition to perform the essential functions of his or her job or to enjoy an equal employment opportunity.</w:t>
      </w:r>
    </w:p>
    <w:p w14:paraId="60D79DB1" w14:textId="77777777" w:rsidR="00130188" w:rsidRPr="00130188" w:rsidRDefault="00130188" w:rsidP="00130188">
      <w:pPr>
        <w:pStyle w:val="BodyText"/>
        <w:spacing w:before="5"/>
        <w:rPr>
          <w:rFonts w:ascii="Century Gothic" w:hAnsi="Century Gothic"/>
          <w:sz w:val="22"/>
          <w:szCs w:val="22"/>
        </w:rPr>
      </w:pPr>
    </w:p>
    <w:p w14:paraId="2C7CF41F" w14:textId="77777777" w:rsidR="00130188" w:rsidRDefault="00130188" w:rsidP="00130188">
      <w:pPr>
        <w:rPr>
          <w:rFonts w:ascii="Century Gothic" w:hAnsi="Century Gothic"/>
          <w:sz w:val="22"/>
        </w:rPr>
      </w:pPr>
      <w:r w:rsidRPr="00172CE9">
        <w:rPr>
          <w:rFonts w:ascii="Century Gothic" w:hAnsi="Century Gothic"/>
          <w:sz w:val="22"/>
        </w:rPr>
        <w:lastRenderedPageBreak/>
        <w:t>Duties of this position are subject to change and may be revised as needed or required.</w:t>
      </w:r>
    </w:p>
    <w:p w14:paraId="58B1885D" w14:textId="77777777" w:rsidR="00935AC1" w:rsidRPr="00172CE9" w:rsidRDefault="00935AC1" w:rsidP="00130188">
      <w:pPr>
        <w:rPr>
          <w:rFonts w:ascii="Century Gothic" w:eastAsia="@Batang" w:hAnsi="Century Gothic"/>
          <w:sz w:val="22"/>
        </w:rPr>
      </w:pPr>
    </w:p>
    <w:tbl>
      <w:tblPr>
        <w:tblStyle w:val="TableGrid"/>
        <w:tblW w:w="0" w:type="auto"/>
        <w:tblInd w:w="0" w:type="dxa"/>
        <w:tblLook w:val="04A0" w:firstRow="1" w:lastRow="0" w:firstColumn="1" w:lastColumn="0" w:noHBand="0" w:noVBand="1"/>
      </w:tblPr>
      <w:tblGrid>
        <w:gridCol w:w="3595"/>
        <w:gridCol w:w="3600"/>
        <w:gridCol w:w="2155"/>
      </w:tblGrid>
      <w:tr w:rsidR="00130188" w:rsidRPr="00130188" w14:paraId="32336C2A" w14:textId="77777777" w:rsidTr="00754489">
        <w:tc>
          <w:tcPr>
            <w:tcW w:w="3595" w:type="dxa"/>
            <w:tcBorders>
              <w:top w:val="single" w:sz="4" w:space="0" w:color="auto"/>
              <w:left w:val="single" w:sz="4" w:space="0" w:color="auto"/>
              <w:bottom w:val="single" w:sz="4" w:space="0" w:color="auto"/>
              <w:right w:val="single" w:sz="4" w:space="0" w:color="auto"/>
            </w:tcBorders>
          </w:tcPr>
          <w:p w14:paraId="4182E544" w14:textId="77777777" w:rsidR="00130188" w:rsidRPr="00130188" w:rsidRDefault="00130188" w:rsidP="00754489">
            <w:pPr>
              <w:rPr>
                <w:rFonts w:ascii="Century Gothic" w:hAnsi="Century Gothic"/>
                <w:b/>
                <w:sz w:val="22"/>
                <w:szCs w:val="22"/>
              </w:rPr>
            </w:pPr>
            <w:r w:rsidRPr="00172CE9">
              <w:rPr>
                <w:rFonts w:ascii="Century Gothic" w:hAnsi="Century Gothic"/>
                <w:b/>
                <w:sz w:val="22"/>
              </w:rPr>
              <w:t>Employee’s Signature</w:t>
            </w:r>
          </w:p>
          <w:p w14:paraId="55A243DC" w14:textId="77777777" w:rsidR="00130188" w:rsidRPr="00130188" w:rsidRDefault="00130188" w:rsidP="00754489">
            <w:pPr>
              <w:rPr>
                <w:rFonts w:ascii="Century Gothic" w:hAnsi="Century Gothic"/>
                <w:b/>
                <w:sz w:val="22"/>
                <w:szCs w:val="22"/>
              </w:rPr>
            </w:pPr>
          </w:p>
          <w:p w14:paraId="4D1226D0" w14:textId="77777777" w:rsidR="00130188" w:rsidRPr="00130188" w:rsidRDefault="00130188" w:rsidP="00754489">
            <w:pPr>
              <w:rPr>
                <w:rFonts w:ascii="Century Gothic" w:hAnsi="Century Gothic"/>
                <w:b/>
                <w:sz w:val="22"/>
                <w:szCs w:val="22"/>
              </w:rPr>
            </w:pPr>
          </w:p>
          <w:p w14:paraId="4C67D5E0" w14:textId="77777777" w:rsidR="00130188" w:rsidRPr="00130188" w:rsidRDefault="00130188" w:rsidP="00754489">
            <w:pPr>
              <w:rPr>
                <w:rFonts w:ascii="Century Gothic" w:hAnsi="Century Gothic"/>
                <w:b/>
                <w:sz w:val="22"/>
                <w:szCs w:val="22"/>
              </w:rPr>
            </w:pPr>
          </w:p>
        </w:tc>
        <w:tc>
          <w:tcPr>
            <w:tcW w:w="3600" w:type="dxa"/>
            <w:tcBorders>
              <w:top w:val="single" w:sz="4" w:space="0" w:color="auto"/>
              <w:left w:val="single" w:sz="4" w:space="0" w:color="auto"/>
              <w:bottom w:val="single" w:sz="4" w:space="0" w:color="auto"/>
              <w:right w:val="single" w:sz="4" w:space="0" w:color="auto"/>
            </w:tcBorders>
          </w:tcPr>
          <w:p w14:paraId="4684C3D2" w14:textId="77777777" w:rsidR="00130188" w:rsidRPr="00130188" w:rsidRDefault="00130188" w:rsidP="00754489">
            <w:pPr>
              <w:rPr>
                <w:rFonts w:ascii="Century Gothic" w:hAnsi="Century Gothic"/>
                <w:b/>
                <w:sz w:val="22"/>
                <w:szCs w:val="22"/>
              </w:rPr>
            </w:pPr>
            <w:r w:rsidRPr="00172CE9">
              <w:rPr>
                <w:rFonts w:ascii="Century Gothic" w:hAnsi="Century Gothic"/>
                <w:b/>
                <w:sz w:val="22"/>
              </w:rPr>
              <w:t>Employee Print</w:t>
            </w:r>
            <w:r w:rsidRPr="00130188">
              <w:rPr>
                <w:rFonts w:ascii="Century Gothic" w:hAnsi="Century Gothic"/>
                <w:b/>
                <w:sz w:val="22"/>
                <w:szCs w:val="22"/>
              </w:rPr>
              <w:t>ed</w:t>
            </w:r>
            <w:r w:rsidRPr="00172CE9">
              <w:rPr>
                <w:rFonts w:ascii="Century Gothic" w:hAnsi="Century Gothic"/>
                <w:b/>
                <w:sz w:val="22"/>
              </w:rPr>
              <w:t xml:space="preserve"> Name</w:t>
            </w:r>
          </w:p>
          <w:p w14:paraId="6E593A22" w14:textId="77777777" w:rsidR="00130188" w:rsidRPr="00130188" w:rsidRDefault="00130188" w:rsidP="00754489">
            <w:pPr>
              <w:rPr>
                <w:rFonts w:ascii="Century Gothic" w:hAnsi="Century Gothic"/>
                <w:b/>
                <w:sz w:val="22"/>
                <w:szCs w:val="22"/>
              </w:rPr>
            </w:pPr>
          </w:p>
          <w:p w14:paraId="70182B4D" w14:textId="59F86B14" w:rsidR="00130188" w:rsidRPr="00130188" w:rsidRDefault="00130188" w:rsidP="00754489">
            <w:pPr>
              <w:rPr>
                <w:rFonts w:ascii="Century Gothic" w:hAnsi="Century Gothic"/>
                <w:b/>
                <w:sz w:val="22"/>
                <w:szCs w:val="22"/>
              </w:rPr>
            </w:pPr>
          </w:p>
        </w:tc>
        <w:tc>
          <w:tcPr>
            <w:tcW w:w="2155" w:type="dxa"/>
            <w:tcBorders>
              <w:top w:val="single" w:sz="4" w:space="0" w:color="auto"/>
              <w:left w:val="single" w:sz="4" w:space="0" w:color="auto"/>
              <w:bottom w:val="single" w:sz="4" w:space="0" w:color="auto"/>
              <w:right w:val="single" w:sz="4" w:space="0" w:color="auto"/>
            </w:tcBorders>
            <w:hideMark/>
          </w:tcPr>
          <w:p w14:paraId="6A421A0A" w14:textId="77777777" w:rsidR="00130188" w:rsidRPr="00130188" w:rsidRDefault="00130188" w:rsidP="00754489">
            <w:pPr>
              <w:rPr>
                <w:rFonts w:ascii="Century Gothic" w:hAnsi="Century Gothic"/>
                <w:b/>
                <w:sz w:val="22"/>
                <w:szCs w:val="22"/>
              </w:rPr>
            </w:pPr>
            <w:r w:rsidRPr="00172CE9">
              <w:rPr>
                <w:rFonts w:ascii="Century Gothic" w:hAnsi="Century Gothic"/>
                <w:b/>
                <w:sz w:val="22"/>
              </w:rPr>
              <w:t>Date</w:t>
            </w:r>
          </w:p>
          <w:p w14:paraId="04EDCF39" w14:textId="77777777" w:rsidR="00130188" w:rsidRPr="00130188" w:rsidRDefault="00130188" w:rsidP="00754489">
            <w:pPr>
              <w:rPr>
                <w:rFonts w:ascii="Century Gothic" w:hAnsi="Century Gothic"/>
                <w:b/>
                <w:sz w:val="22"/>
                <w:szCs w:val="22"/>
              </w:rPr>
            </w:pPr>
            <w:r w:rsidRPr="00172CE9">
              <w:rPr>
                <w:rFonts w:ascii="Century Gothic" w:hAnsi="Century Gothic"/>
                <w:b/>
                <w:sz w:val="22"/>
              </w:rPr>
              <w:br/>
            </w:r>
          </w:p>
        </w:tc>
      </w:tr>
    </w:tbl>
    <w:p w14:paraId="7D196BD0" w14:textId="77777777" w:rsidR="00935AC1" w:rsidRDefault="00935AC1" w:rsidP="00130188">
      <w:pPr>
        <w:rPr>
          <w:rFonts w:ascii="Century Gothic" w:hAnsi="Century Gothic"/>
          <w:sz w:val="22"/>
        </w:rPr>
      </w:pPr>
    </w:p>
    <w:p w14:paraId="382B0117" w14:textId="5999D1FB" w:rsidR="002C0C6D" w:rsidRPr="00172CE9" w:rsidRDefault="00130188" w:rsidP="00130188">
      <w:pPr>
        <w:rPr>
          <w:rFonts w:ascii="Century Gothic" w:hAnsi="Century Gothic"/>
          <w:sz w:val="22"/>
        </w:rPr>
      </w:pPr>
      <w:r w:rsidRPr="00172CE9">
        <w:rPr>
          <w:rFonts w:ascii="Century Gothic" w:hAnsi="Century Gothic"/>
          <w:sz w:val="22"/>
        </w:rPr>
        <w:t>I have discussed the duties of this position with and have provided a copy of this duty statement to the employee named above.</w:t>
      </w:r>
    </w:p>
    <w:tbl>
      <w:tblPr>
        <w:tblStyle w:val="TableGrid"/>
        <w:tblW w:w="0" w:type="auto"/>
        <w:tblInd w:w="0" w:type="dxa"/>
        <w:tblLook w:val="04A0" w:firstRow="1" w:lastRow="0" w:firstColumn="1" w:lastColumn="0" w:noHBand="0" w:noVBand="1"/>
      </w:tblPr>
      <w:tblGrid>
        <w:gridCol w:w="3595"/>
        <w:gridCol w:w="3600"/>
        <w:gridCol w:w="2155"/>
      </w:tblGrid>
      <w:tr w:rsidR="00130188" w:rsidRPr="00130188" w14:paraId="41572AAC" w14:textId="77777777" w:rsidTr="00754489">
        <w:tc>
          <w:tcPr>
            <w:tcW w:w="3595" w:type="dxa"/>
            <w:tcBorders>
              <w:top w:val="single" w:sz="4" w:space="0" w:color="auto"/>
              <w:left w:val="single" w:sz="4" w:space="0" w:color="auto"/>
              <w:bottom w:val="single" w:sz="4" w:space="0" w:color="auto"/>
              <w:right w:val="single" w:sz="4" w:space="0" w:color="auto"/>
            </w:tcBorders>
          </w:tcPr>
          <w:p w14:paraId="64D59290" w14:textId="77777777" w:rsidR="00130188" w:rsidRPr="00130188" w:rsidRDefault="00130188" w:rsidP="00754489">
            <w:pPr>
              <w:rPr>
                <w:rFonts w:ascii="Century Gothic" w:hAnsi="Century Gothic"/>
                <w:b/>
                <w:sz w:val="22"/>
                <w:szCs w:val="22"/>
              </w:rPr>
            </w:pPr>
            <w:r w:rsidRPr="00172CE9">
              <w:rPr>
                <w:rFonts w:ascii="Century Gothic" w:hAnsi="Century Gothic"/>
                <w:b/>
                <w:sz w:val="22"/>
              </w:rPr>
              <w:t>Supervisor’s Signature</w:t>
            </w:r>
          </w:p>
          <w:p w14:paraId="70649BE4" w14:textId="77777777" w:rsidR="00130188" w:rsidRPr="00130188" w:rsidRDefault="00130188" w:rsidP="00754489">
            <w:pPr>
              <w:rPr>
                <w:rFonts w:ascii="Century Gothic" w:hAnsi="Century Gothic"/>
                <w:b/>
                <w:sz w:val="22"/>
                <w:szCs w:val="22"/>
              </w:rPr>
            </w:pPr>
          </w:p>
          <w:p w14:paraId="5EBD6426" w14:textId="77777777" w:rsidR="00130188" w:rsidRPr="00130188" w:rsidRDefault="00130188" w:rsidP="00754489">
            <w:pPr>
              <w:rPr>
                <w:rFonts w:ascii="Century Gothic" w:hAnsi="Century Gothic"/>
                <w:b/>
                <w:sz w:val="22"/>
                <w:szCs w:val="22"/>
              </w:rPr>
            </w:pPr>
          </w:p>
          <w:p w14:paraId="22B7FC6B" w14:textId="77777777" w:rsidR="00130188" w:rsidRPr="00130188" w:rsidRDefault="00130188" w:rsidP="00754489">
            <w:pPr>
              <w:rPr>
                <w:rFonts w:ascii="Century Gothic" w:hAnsi="Century Gothic"/>
                <w:b/>
                <w:sz w:val="22"/>
                <w:szCs w:val="22"/>
              </w:rPr>
            </w:pPr>
          </w:p>
        </w:tc>
        <w:tc>
          <w:tcPr>
            <w:tcW w:w="3600" w:type="dxa"/>
            <w:tcBorders>
              <w:top w:val="single" w:sz="4" w:space="0" w:color="auto"/>
              <w:left w:val="single" w:sz="4" w:space="0" w:color="auto"/>
              <w:bottom w:val="single" w:sz="4" w:space="0" w:color="auto"/>
              <w:right w:val="single" w:sz="4" w:space="0" w:color="auto"/>
            </w:tcBorders>
          </w:tcPr>
          <w:p w14:paraId="075B5CF5" w14:textId="77777777" w:rsidR="00130188" w:rsidRPr="00130188" w:rsidRDefault="00130188" w:rsidP="00754489">
            <w:pPr>
              <w:rPr>
                <w:rFonts w:ascii="Century Gothic" w:hAnsi="Century Gothic"/>
                <w:b/>
                <w:sz w:val="22"/>
                <w:szCs w:val="22"/>
              </w:rPr>
            </w:pPr>
            <w:r w:rsidRPr="00172CE9">
              <w:rPr>
                <w:rFonts w:ascii="Century Gothic" w:hAnsi="Century Gothic"/>
                <w:b/>
                <w:sz w:val="22"/>
              </w:rPr>
              <w:t>Supervisor Print</w:t>
            </w:r>
            <w:r w:rsidRPr="00130188">
              <w:rPr>
                <w:rFonts w:ascii="Century Gothic" w:hAnsi="Century Gothic"/>
                <w:b/>
                <w:sz w:val="22"/>
                <w:szCs w:val="22"/>
              </w:rPr>
              <w:t>ed</w:t>
            </w:r>
            <w:r w:rsidRPr="00172CE9">
              <w:rPr>
                <w:rFonts w:ascii="Century Gothic" w:hAnsi="Century Gothic"/>
                <w:b/>
                <w:sz w:val="22"/>
              </w:rPr>
              <w:t xml:space="preserve"> Name</w:t>
            </w:r>
          </w:p>
          <w:p w14:paraId="5709CC70" w14:textId="77777777" w:rsidR="00130188" w:rsidRPr="00754489" w:rsidRDefault="00130188" w:rsidP="00130188">
            <w:pPr>
              <w:rPr>
                <w:rFonts w:ascii="Century Gothic" w:eastAsia="@Batang" w:hAnsi="Century Gothic"/>
                <w:b/>
                <w:sz w:val="22"/>
                <w:szCs w:val="22"/>
              </w:rPr>
            </w:pPr>
          </w:p>
          <w:p w14:paraId="2DF4CFB0" w14:textId="790D1B61" w:rsidR="00130188" w:rsidRPr="00130188" w:rsidRDefault="00130188" w:rsidP="00130188">
            <w:pPr>
              <w:rPr>
                <w:rFonts w:ascii="Century Gothic" w:hAnsi="Century Gothic"/>
                <w:b/>
                <w:sz w:val="22"/>
                <w:szCs w:val="22"/>
              </w:rPr>
            </w:pPr>
          </w:p>
        </w:tc>
        <w:tc>
          <w:tcPr>
            <w:tcW w:w="2155" w:type="dxa"/>
            <w:tcBorders>
              <w:top w:val="single" w:sz="4" w:space="0" w:color="auto"/>
              <w:left w:val="single" w:sz="4" w:space="0" w:color="auto"/>
              <w:bottom w:val="single" w:sz="4" w:space="0" w:color="auto"/>
              <w:right w:val="single" w:sz="4" w:space="0" w:color="auto"/>
            </w:tcBorders>
            <w:hideMark/>
          </w:tcPr>
          <w:p w14:paraId="23D0551A" w14:textId="77777777" w:rsidR="00130188" w:rsidRPr="00130188" w:rsidRDefault="00130188" w:rsidP="00754489">
            <w:pPr>
              <w:rPr>
                <w:rFonts w:ascii="Century Gothic" w:hAnsi="Century Gothic"/>
                <w:b/>
                <w:sz w:val="22"/>
                <w:szCs w:val="22"/>
              </w:rPr>
            </w:pPr>
            <w:r w:rsidRPr="00172CE9">
              <w:rPr>
                <w:rFonts w:ascii="Century Gothic" w:hAnsi="Century Gothic"/>
                <w:b/>
                <w:sz w:val="22"/>
              </w:rPr>
              <w:t>Date</w:t>
            </w:r>
          </w:p>
          <w:p w14:paraId="0A5D88D6" w14:textId="77777777" w:rsidR="00130188" w:rsidRPr="00130188" w:rsidRDefault="00130188" w:rsidP="00754489">
            <w:pPr>
              <w:rPr>
                <w:rFonts w:ascii="Century Gothic" w:hAnsi="Century Gothic"/>
                <w:b/>
                <w:sz w:val="22"/>
                <w:szCs w:val="22"/>
              </w:rPr>
            </w:pPr>
            <w:r w:rsidRPr="00172CE9">
              <w:rPr>
                <w:rFonts w:ascii="Century Gothic" w:hAnsi="Century Gothic"/>
                <w:b/>
                <w:sz w:val="22"/>
              </w:rPr>
              <w:br/>
            </w:r>
          </w:p>
        </w:tc>
      </w:tr>
    </w:tbl>
    <w:p w14:paraId="5EA7C7D6" w14:textId="181126FB" w:rsidR="00130188" w:rsidRPr="00787571" w:rsidRDefault="00130188" w:rsidP="00130188">
      <w:pPr>
        <w:pStyle w:val="BodyText"/>
        <w:rPr>
          <w:rFonts w:ascii="Century Gothic" w:hAnsi="Century Gothic"/>
          <w:sz w:val="22"/>
          <w:szCs w:val="22"/>
        </w:rPr>
      </w:pPr>
    </w:p>
    <w:p w14:paraId="65AA3CE0" w14:textId="77777777" w:rsidR="00130188" w:rsidRPr="00787571" w:rsidRDefault="00130188" w:rsidP="00130188">
      <w:pPr>
        <w:pStyle w:val="BodyText"/>
        <w:spacing w:before="1"/>
        <w:rPr>
          <w:rFonts w:ascii="Century Gothic" w:hAnsi="Century Gothic"/>
          <w:w w:val="105"/>
          <w:sz w:val="22"/>
          <w:szCs w:val="22"/>
        </w:rPr>
      </w:pPr>
    </w:p>
    <w:p w14:paraId="5AFE058B" w14:textId="438BD7DE" w:rsidR="00BC298E" w:rsidRPr="00004522" w:rsidRDefault="00130188" w:rsidP="00004522">
      <w:pPr>
        <w:pStyle w:val="BodyText"/>
        <w:spacing w:before="1"/>
        <w:rPr>
          <w:rFonts w:ascii="Century Gothic" w:hAnsi="Century Gothic"/>
          <w:sz w:val="22"/>
          <w:szCs w:val="22"/>
        </w:rPr>
      </w:pPr>
      <w:r w:rsidRPr="00787571">
        <w:rPr>
          <w:rFonts w:ascii="Century Gothic" w:hAnsi="Century Gothic"/>
          <w:noProof/>
          <w:sz w:val="22"/>
          <w:szCs w:val="22"/>
        </w:rPr>
        <mc:AlternateContent>
          <mc:Choice Requires="wps">
            <w:drawing>
              <wp:anchor distT="0" distB="0" distL="114300" distR="114300" simplePos="0" relativeHeight="251659264" behindDoc="1" locked="0" layoutInCell="1" allowOverlap="1" wp14:anchorId="56E84484" wp14:editId="27997351">
                <wp:simplePos x="0" y="0"/>
                <wp:positionH relativeFrom="page">
                  <wp:posOffset>145996</wp:posOffset>
                </wp:positionH>
                <wp:positionV relativeFrom="page">
                  <wp:posOffset>5501651</wp:posOffset>
                </wp:positionV>
                <wp:extent cx="7772400" cy="4445"/>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29DE1" id="Rectangle 2" o:spid="_x0000_s1026" style="position:absolute;margin-left:11.5pt;margin-top:433.2pt;width:612pt;height:.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" fillcolor="black" stroked="f">
                <w10:wrap anchorx="page" anchory="page"/>
              </v:rect>
            </w:pict>
          </mc:Fallback>
        </mc:AlternateContent>
      </w:r>
    </w:p>
    <w:sectPr w:rsidR="00BC298E" w:rsidRPr="00004522" w:rsidSect="00172CE9">
      <w:headerReference w:type="default" r:id="rId10"/>
      <w:footerReference w:type="default" r:id="rId11"/>
      <w:pgSz w:w="12240" w:h="15840"/>
      <w:pgMar w:top="1440" w:right="1440" w:bottom="1440" w:left="1440" w:header="135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C4BC5" w14:textId="77777777" w:rsidR="00943006" w:rsidRDefault="00943006" w:rsidP="00FC172B">
      <w:pPr>
        <w:spacing w:after="0" w:line="240" w:lineRule="auto"/>
      </w:pPr>
      <w:r>
        <w:separator/>
      </w:r>
    </w:p>
  </w:endnote>
  <w:endnote w:type="continuationSeparator" w:id="0">
    <w:p w14:paraId="3DBAFD29" w14:textId="77777777" w:rsidR="00943006" w:rsidRDefault="00943006" w:rsidP="00FC1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Arial Unicode MS"/>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7EA9F" w14:textId="77777777" w:rsidR="00130188" w:rsidRDefault="00130188" w:rsidP="00130188">
    <w:pPr>
      <w:pStyle w:val="BodyText"/>
      <w:spacing w:line="14" w:lineRule="auto"/>
      <w:rPr>
        <w:sz w:val="20"/>
      </w:rPr>
    </w:pPr>
  </w:p>
  <w:p w14:paraId="4380C1A9" w14:textId="77777777" w:rsidR="00130188" w:rsidRDefault="00130188" w:rsidP="00130188"/>
  <w:p w14:paraId="3D923973" w14:textId="77777777" w:rsidR="00130188" w:rsidRDefault="00130188" w:rsidP="00130188">
    <w:pPr>
      <w:pStyle w:val="Footer"/>
    </w:pPr>
  </w:p>
  <w:p w14:paraId="2DB2CE70" w14:textId="77777777" w:rsidR="00130188" w:rsidRDefault="00130188" w:rsidP="00130188"/>
  <w:sdt>
    <w:sdtPr>
      <w:id w:val="2009787255"/>
      <w:docPartObj>
        <w:docPartGallery w:val="Page Numbers (Bottom of Page)"/>
        <w:docPartUnique/>
      </w:docPartObj>
    </w:sdtPr>
    <w:sdtEndPr/>
    <w:sdtContent>
      <w:p w14:paraId="3FA67A7A" w14:textId="3B8DA4E4" w:rsidR="00130188" w:rsidRDefault="00617E03" w:rsidP="00130188">
        <w:pPr>
          <w:pStyle w:val="Footer"/>
          <w:ind w:firstLine="2880"/>
          <w:jc w:val="center"/>
        </w:pPr>
        <w:sdt>
          <w:sdtPr>
            <w:id w:val="1728636285"/>
            <w:docPartObj>
              <w:docPartGallery w:val="Page Numbers (Top of Page)"/>
              <w:docPartUnique/>
            </w:docPartObj>
          </w:sdtPr>
          <w:sdtEndPr/>
          <w:sdtContent>
            <w:r w:rsidR="00130188">
              <w:t xml:space="preserve">Page </w:t>
            </w:r>
            <w:r w:rsidR="00130188">
              <w:rPr>
                <w:b/>
                <w:bCs/>
                <w:szCs w:val="24"/>
              </w:rPr>
              <w:fldChar w:fldCharType="begin"/>
            </w:r>
            <w:r w:rsidR="00130188">
              <w:rPr>
                <w:b/>
                <w:bCs/>
              </w:rPr>
              <w:instrText xml:space="preserve"> PAGE </w:instrText>
            </w:r>
            <w:r w:rsidR="00130188">
              <w:rPr>
                <w:b/>
                <w:bCs/>
                <w:szCs w:val="24"/>
              </w:rPr>
              <w:fldChar w:fldCharType="separate"/>
            </w:r>
            <w:r w:rsidR="00E600CF">
              <w:rPr>
                <w:b/>
                <w:bCs/>
                <w:noProof/>
              </w:rPr>
              <w:t>4</w:t>
            </w:r>
            <w:r w:rsidR="00130188">
              <w:rPr>
                <w:b/>
                <w:bCs/>
                <w:szCs w:val="24"/>
              </w:rPr>
              <w:fldChar w:fldCharType="end"/>
            </w:r>
            <w:r w:rsidR="00130188">
              <w:t xml:space="preserve"> of </w:t>
            </w:r>
            <w:r w:rsidR="00130188">
              <w:rPr>
                <w:b/>
                <w:bCs/>
                <w:szCs w:val="24"/>
              </w:rPr>
              <w:fldChar w:fldCharType="begin"/>
            </w:r>
            <w:r w:rsidR="00130188">
              <w:rPr>
                <w:b/>
                <w:bCs/>
              </w:rPr>
              <w:instrText xml:space="preserve"> NUMPAGES  </w:instrText>
            </w:r>
            <w:r w:rsidR="00130188">
              <w:rPr>
                <w:b/>
                <w:bCs/>
                <w:szCs w:val="24"/>
              </w:rPr>
              <w:fldChar w:fldCharType="separate"/>
            </w:r>
            <w:r w:rsidR="00E600CF">
              <w:rPr>
                <w:b/>
                <w:bCs/>
                <w:noProof/>
              </w:rPr>
              <w:t>5</w:t>
            </w:r>
            <w:r w:rsidR="00130188">
              <w:rPr>
                <w:b/>
                <w:bCs/>
                <w:szCs w:val="24"/>
              </w:rPr>
              <w:fldChar w:fldCharType="end"/>
            </w:r>
            <w:r w:rsidR="00130188">
              <w:rPr>
                <w:b/>
                <w:bCs/>
                <w:szCs w:val="24"/>
              </w:rPr>
              <w:tab/>
            </w:r>
            <w:r w:rsidR="00130188">
              <w:rPr>
                <w:b/>
                <w:bCs/>
                <w:szCs w:val="24"/>
              </w:rPr>
              <w:tab/>
            </w:r>
            <w:r w:rsidR="00130188">
              <w:rPr>
                <w:bCs/>
                <w:szCs w:val="24"/>
              </w:rPr>
              <w:t>Revised 5</w:t>
            </w:r>
            <w:r w:rsidR="00130188" w:rsidRPr="00787571">
              <w:rPr>
                <w:bCs/>
                <w:szCs w:val="24"/>
              </w:rPr>
              <w:t>/</w:t>
            </w:r>
            <w:r w:rsidR="00935AC1">
              <w:rPr>
                <w:bCs/>
                <w:szCs w:val="24"/>
              </w:rPr>
              <w:t>14/</w:t>
            </w:r>
            <w:r w:rsidR="00130188" w:rsidRPr="00787571">
              <w:rPr>
                <w:bCs/>
                <w:szCs w:val="24"/>
              </w:rPr>
              <w:t>202</w:t>
            </w:r>
            <w:r w:rsidR="00935AC1">
              <w:rPr>
                <w:bCs/>
                <w:szCs w:val="24"/>
              </w:rPr>
              <w:t>5</w:t>
            </w:r>
          </w:sdtContent>
        </w:sdt>
      </w:p>
    </w:sdtContent>
  </w:sdt>
  <w:p w14:paraId="70B5615A" w14:textId="77777777" w:rsidR="00130188" w:rsidRDefault="00130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DA644" w14:textId="77777777" w:rsidR="00943006" w:rsidRDefault="00943006" w:rsidP="00FC172B">
      <w:pPr>
        <w:spacing w:after="0" w:line="240" w:lineRule="auto"/>
      </w:pPr>
      <w:r>
        <w:separator/>
      </w:r>
    </w:p>
  </w:footnote>
  <w:footnote w:type="continuationSeparator" w:id="0">
    <w:p w14:paraId="5B8C9D05" w14:textId="77777777" w:rsidR="00943006" w:rsidRDefault="00943006" w:rsidP="00FC1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8362D" w14:textId="77777777" w:rsidR="00FC172B" w:rsidRDefault="00FC172B" w:rsidP="00FC172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81D86"/>
    <w:multiLevelType w:val="hybridMultilevel"/>
    <w:tmpl w:val="46A0F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F04DD"/>
    <w:multiLevelType w:val="multilevel"/>
    <w:tmpl w:val="6C1C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E709C1"/>
    <w:multiLevelType w:val="hybridMultilevel"/>
    <w:tmpl w:val="647C7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6E2759"/>
    <w:multiLevelType w:val="multilevel"/>
    <w:tmpl w:val="87565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BC6991"/>
    <w:multiLevelType w:val="multilevel"/>
    <w:tmpl w:val="5EB84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4C6DF2"/>
    <w:multiLevelType w:val="hybridMultilevel"/>
    <w:tmpl w:val="4AA8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4394906">
    <w:abstractNumId w:val="3"/>
  </w:num>
  <w:num w:numId="2" w16cid:durableId="352995144">
    <w:abstractNumId w:val="1"/>
  </w:num>
  <w:num w:numId="3" w16cid:durableId="1256397692">
    <w:abstractNumId w:val="4"/>
  </w:num>
  <w:num w:numId="4" w16cid:durableId="439685091">
    <w:abstractNumId w:val="2"/>
  </w:num>
  <w:num w:numId="5" w16cid:durableId="1139494434">
    <w:abstractNumId w:val="0"/>
  </w:num>
  <w:num w:numId="6" w16cid:durableId="17592550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98E"/>
    <w:rsid w:val="00004522"/>
    <w:rsid w:val="00054481"/>
    <w:rsid w:val="000B79A3"/>
    <w:rsid w:val="00130188"/>
    <w:rsid w:val="00141857"/>
    <w:rsid w:val="00172CE9"/>
    <w:rsid w:val="001A0B16"/>
    <w:rsid w:val="00257FB6"/>
    <w:rsid w:val="002675EE"/>
    <w:rsid w:val="002A6932"/>
    <w:rsid w:val="002B49F4"/>
    <w:rsid w:val="002C0C6D"/>
    <w:rsid w:val="002D18A8"/>
    <w:rsid w:val="00337D74"/>
    <w:rsid w:val="003B190A"/>
    <w:rsid w:val="003F70DB"/>
    <w:rsid w:val="004C57AD"/>
    <w:rsid w:val="00527D95"/>
    <w:rsid w:val="005F2E9A"/>
    <w:rsid w:val="00617E03"/>
    <w:rsid w:val="006A7365"/>
    <w:rsid w:val="006B1850"/>
    <w:rsid w:val="007B0B89"/>
    <w:rsid w:val="007C13A2"/>
    <w:rsid w:val="007D707A"/>
    <w:rsid w:val="007E3DB6"/>
    <w:rsid w:val="008319B4"/>
    <w:rsid w:val="0086323D"/>
    <w:rsid w:val="00873CDA"/>
    <w:rsid w:val="008A4E0E"/>
    <w:rsid w:val="008C0912"/>
    <w:rsid w:val="008E3579"/>
    <w:rsid w:val="00935AC1"/>
    <w:rsid w:val="00943006"/>
    <w:rsid w:val="00A25D1E"/>
    <w:rsid w:val="00A33A17"/>
    <w:rsid w:val="00A538D7"/>
    <w:rsid w:val="00AB5C9D"/>
    <w:rsid w:val="00BC1E70"/>
    <w:rsid w:val="00BC298E"/>
    <w:rsid w:val="00BD03DF"/>
    <w:rsid w:val="00BF570B"/>
    <w:rsid w:val="00C114ED"/>
    <w:rsid w:val="00C31F10"/>
    <w:rsid w:val="00C61C6B"/>
    <w:rsid w:val="00C83E83"/>
    <w:rsid w:val="00C91359"/>
    <w:rsid w:val="00CE1DD5"/>
    <w:rsid w:val="00D620F8"/>
    <w:rsid w:val="00D740B8"/>
    <w:rsid w:val="00E600CF"/>
    <w:rsid w:val="00E646FB"/>
    <w:rsid w:val="00F715B8"/>
    <w:rsid w:val="00F84572"/>
    <w:rsid w:val="00FA5998"/>
    <w:rsid w:val="00FB0651"/>
    <w:rsid w:val="00FC172B"/>
    <w:rsid w:val="00FD61C4"/>
    <w:rsid w:val="00FE6909"/>
    <w:rsid w:val="00FF5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247FA4"/>
  <w15:chartTrackingRefBased/>
  <w15:docId w15:val="{837ED5A3-6D73-4DF9-84E6-E69BFC10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018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3018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BC29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C298E"/>
    <w:rPr>
      <w:rFonts w:ascii="Times New Roman" w:eastAsia="Times New Roman" w:hAnsi="Times New Roman" w:cs="Times New Roman"/>
      <w:b/>
      <w:bCs/>
      <w:sz w:val="27"/>
      <w:szCs w:val="27"/>
    </w:rPr>
  </w:style>
  <w:style w:type="paragraph" w:customStyle="1" w:styleId="postingcontent">
    <w:name w:val="postingcontent"/>
    <w:basedOn w:val="Normal"/>
    <w:rsid w:val="00BC298E"/>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BC298E"/>
    <w:rPr>
      <w:b/>
      <w:bCs/>
    </w:rPr>
  </w:style>
  <w:style w:type="character" w:customStyle="1" w:styleId="apple-converted-space">
    <w:name w:val="apple-converted-space"/>
    <w:basedOn w:val="DefaultParagraphFont"/>
    <w:rsid w:val="00BC298E"/>
  </w:style>
  <w:style w:type="paragraph" w:styleId="NormalWeb">
    <w:name w:val="Normal (Web)"/>
    <w:basedOn w:val="Normal"/>
    <w:uiPriority w:val="99"/>
    <w:semiHidden/>
    <w:unhideWhenUsed/>
    <w:rsid w:val="00BC298E"/>
    <w:pPr>
      <w:spacing w:before="100" w:beforeAutospacing="1" w:after="100" w:afterAutospacing="1" w:line="240" w:lineRule="auto"/>
    </w:pPr>
    <w:rPr>
      <w:rFonts w:ascii="Times New Roman" w:eastAsia="Times New Roman" w:hAnsi="Times New Roman" w:cs="Times New Roman"/>
      <w:szCs w:val="24"/>
    </w:rPr>
  </w:style>
  <w:style w:type="paragraph" w:styleId="Header">
    <w:name w:val="header"/>
    <w:basedOn w:val="Normal"/>
    <w:link w:val="HeaderChar"/>
    <w:uiPriority w:val="99"/>
    <w:unhideWhenUsed/>
    <w:rsid w:val="00FC17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72B"/>
  </w:style>
  <w:style w:type="paragraph" w:styleId="Footer">
    <w:name w:val="footer"/>
    <w:basedOn w:val="Normal"/>
    <w:link w:val="FooterChar"/>
    <w:uiPriority w:val="99"/>
    <w:unhideWhenUsed/>
    <w:rsid w:val="00FC17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72B"/>
  </w:style>
  <w:style w:type="character" w:customStyle="1" w:styleId="Heading1Char">
    <w:name w:val="Heading 1 Char"/>
    <w:basedOn w:val="DefaultParagraphFont"/>
    <w:link w:val="Heading1"/>
    <w:uiPriority w:val="9"/>
    <w:rsid w:val="00130188"/>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130188"/>
    <w:pPr>
      <w:widowControl w:val="0"/>
      <w:autoSpaceDE w:val="0"/>
      <w:autoSpaceDN w:val="0"/>
      <w:spacing w:after="0" w:line="240" w:lineRule="auto"/>
    </w:pPr>
    <w:rPr>
      <w:rFonts w:eastAsia="Arial" w:cs="Arial"/>
      <w:sz w:val="23"/>
      <w:szCs w:val="23"/>
    </w:rPr>
  </w:style>
  <w:style w:type="character" w:customStyle="1" w:styleId="BodyTextChar">
    <w:name w:val="Body Text Char"/>
    <w:basedOn w:val="DefaultParagraphFont"/>
    <w:link w:val="BodyText"/>
    <w:uiPriority w:val="1"/>
    <w:rsid w:val="00130188"/>
    <w:rPr>
      <w:rFonts w:eastAsia="Arial" w:cs="Arial"/>
      <w:sz w:val="23"/>
      <w:szCs w:val="23"/>
    </w:rPr>
  </w:style>
  <w:style w:type="paragraph" w:styleId="Title">
    <w:name w:val="Title"/>
    <w:basedOn w:val="Normal"/>
    <w:link w:val="TitleChar"/>
    <w:uiPriority w:val="1"/>
    <w:qFormat/>
    <w:rsid w:val="00130188"/>
    <w:pPr>
      <w:widowControl w:val="0"/>
      <w:autoSpaceDE w:val="0"/>
      <w:autoSpaceDN w:val="0"/>
      <w:spacing w:before="6" w:after="0" w:line="240" w:lineRule="auto"/>
      <w:ind w:left="1818" w:right="1813"/>
      <w:jc w:val="center"/>
    </w:pPr>
    <w:rPr>
      <w:rFonts w:eastAsia="Arial" w:cs="Arial"/>
      <w:sz w:val="26"/>
      <w:szCs w:val="26"/>
    </w:rPr>
  </w:style>
  <w:style w:type="character" w:customStyle="1" w:styleId="TitleChar">
    <w:name w:val="Title Char"/>
    <w:basedOn w:val="DefaultParagraphFont"/>
    <w:link w:val="Title"/>
    <w:uiPriority w:val="1"/>
    <w:rsid w:val="00130188"/>
    <w:rPr>
      <w:rFonts w:eastAsia="Arial" w:cs="Arial"/>
      <w:sz w:val="26"/>
      <w:szCs w:val="26"/>
    </w:rPr>
  </w:style>
  <w:style w:type="table" w:styleId="TableGrid">
    <w:name w:val="Table Grid"/>
    <w:basedOn w:val="TableNormal"/>
    <w:rsid w:val="00130188"/>
    <w:pPr>
      <w:spacing w:after="0" w:line="240" w:lineRule="auto"/>
    </w:pPr>
    <w:rPr>
      <w:rFonts w:ascii="New York" w:eastAsia="Times New Roman" w:hAnsi="New York"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30188"/>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130188"/>
    <w:pPr>
      <w:widowControl w:val="0"/>
      <w:autoSpaceDE w:val="0"/>
      <w:autoSpaceDN w:val="0"/>
      <w:spacing w:after="0" w:line="240" w:lineRule="auto"/>
    </w:pPr>
    <w:rPr>
      <w:rFonts w:eastAsia="Arial" w:cs="Arial"/>
      <w:sz w:val="22"/>
    </w:rPr>
  </w:style>
  <w:style w:type="character" w:styleId="CommentReference">
    <w:name w:val="annotation reference"/>
    <w:basedOn w:val="DefaultParagraphFont"/>
    <w:uiPriority w:val="99"/>
    <w:semiHidden/>
    <w:unhideWhenUsed/>
    <w:rsid w:val="00130188"/>
    <w:rPr>
      <w:sz w:val="16"/>
      <w:szCs w:val="16"/>
    </w:rPr>
  </w:style>
  <w:style w:type="paragraph" w:styleId="CommentText">
    <w:name w:val="annotation text"/>
    <w:basedOn w:val="Normal"/>
    <w:link w:val="CommentTextChar"/>
    <w:uiPriority w:val="99"/>
    <w:semiHidden/>
    <w:unhideWhenUsed/>
    <w:rsid w:val="00130188"/>
    <w:pPr>
      <w:spacing w:line="240" w:lineRule="auto"/>
    </w:pPr>
    <w:rPr>
      <w:sz w:val="20"/>
      <w:szCs w:val="20"/>
    </w:rPr>
  </w:style>
  <w:style w:type="character" w:customStyle="1" w:styleId="CommentTextChar">
    <w:name w:val="Comment Text Char"/>
    <w:basedOn w:val="DefaultParagraphFont"/>
    <w:link w:val="CommentText"/>
    <w:uiPriority w:val="99"/>
    <w:semiHidden/>
    <w:rsid w:val="00130188"/>
    <w:rPr>
      <w:sz w:val="20"/>
      <w:szCs w:val="20"/>
    </w:rPr>
  </w:style>
  <w:style w:type="paragraph" w:styleId="CommentSubject">
    <w:name w:val="annotation subject"/>
    <w:basedOn w:val="CommentText"/>
    <w:next w:val="CommentText"/>
    <w:link w:val="CommentSubjectChar"/>
    <w:uiPriority w:val="99"/>
    <w:semiHidden/>
    <w:unhideWhenUsed/>
    <w:rsid w:val="00130188"/>
    <w:rPr>
      <w:b/>
      <w:bCs/>
    </w:rPr>
  </w:style>
  <w:style w:type="character" w:customStyle="1" w:styleId="CommentSubjectChar">
    <w:name w:val="Comment Subject Char"/>
    <w:basedOn w:val="CommentTextChar"/>
    <w:link w:val="CommentSubject"/>
    <w:uiPriority w:val="99"/>
    <w:semiHidden/>
    <w:rsid w:val="00130188"/>
    <w:rPr>
      <w:b/>
      <w:bCs/>
      <w:sz w:val="20"/>
      <w:szCs w:val="20"/>
    </w:rPr>
  </w:style>
  <w:style w:type="paragraph" w:styleId="Revision">
    <w:name w:val="Revision"/>
    <w:hidden/>
    <w:uiPriority w:val="99"/>
    <w:semiHidden/>
    <w:rsid w:val="00130188"/>
    <w:pPr>
      <w:spacing w:after="0" w:line="240" w:lineRule="auto"/>
    </w:pPr>
  </w:style>
  <w:style w:type="paragraph" w:styleId="BalloonText">
    <w:name w:val="Balloon Text"/>
    <w:basedOn w:val="Normal"/>
    <w:link w:val="BalloonTextChar"/>
    <w:uiPriority w:val="99"/>
    <w:semiHidden/>
    <w:unhideWhenUsed/>
    <w:rsid w:val="001301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131747">
      <w:bodyDiv w:val="1"/>
      <w:marLeft w:val="0"/>
      <w:marRight w:val="0"/>
      <w:marTop w:val="0"/>
      <w:marBottom w:val="0"/>
      <w:divBdr>
        <w:top w:val="none" w:sz="0" w:space="0" w:color="auto"/>
        <w:left w:val="none" w:sz="0" w:space="0" w:color="auto"/>
        <w:bottom w:val="none" w:sz="0" w:space="0" w:color="auto"/>
        <w:right w:val="none" w:sz="0" w:space="0" w:color="auto"/>
      </w:divBdr>
      <w:divsChild>
        <w:div w:id="1457063566">
          <w:marLeft w:val="0"/>
          <w:marRight w:val="0"/>
          <w:marTop w:val="0"/>
          <w:marBottom w:val="0"/>
          <w:divBdr>
            <w:top w:val="none" w:sz="0" w:space="0" w:color="auto"/>
            <w:left w:val="none" w:sz="0" w:space="0" w:color="auto"/>
            <w:bottom w:val="none" w:sz="0" w:space="0" w:color="auto"/>
            <w:right w:val="none" w:sz="0" w:space="0" w:color="auto"/>
          </w:divBdr>
        </w:div>
        <w:div w:id="1171291302">
          <w:marLeft w:val="0"/>
          <w:marRight w:val="0"/>
          <w:marTop w:val="0"/>
          <w:marBottom w:val="0"/>
          <w:divBdr>
            <w:top w:val="none" w:sz="0" w:space="0" w:color="auto"/>
            <w:left w:val="none" w:sz="0" w:space="0" w:color="auto"/>
            <w:bottom w:val="none" w:sz="0" w:space="0" w:color="auto"/>
            <w:right w:val="none" w:sz="0" w:space="0" w:color="auto"/>
          </w:divBdr>
          <w:divsChild>
            <w:div w:id="1874801359">
              <w:marLeft w:val="150"/>
              <w:marRight w:val="0"/>
              <w:marTop w:val="75"/>
              <w:marBottom w:val="0"/>
              <w:divBdr>
                <w:top w:val="none" w:sz="0" w:space="0" w:color="auto"/>
                <w:left w:val="none" w:sz="0" w:space="0" w:color="auto"/>
                <w:bottom w:val="none" w:sz="0" w:space="0" w:color="auto"/>
                <w:right w:val="none" w:sz="0" w:space="0" w:color="auto"/>
              </w:divBdr>
            </w:div>
          </w:divsChild>
        </w:div>
      </w:divsChild>
    </w:div>
    <w:div w:id="818616851">
      <w:bodyDiv w:val="1"/>
      <w:marLeft w:val="0"/>
      <w:marRight w:val="0"/>
      <w:marTop w:val="0"/>
      <w:marBottom w:val="0"/>
      <w:divBdr>
        <w:top w:val="none" w:sz="0" w:space="0" w:color="auto"/>
        <w:left w:val="none" w:sz="0" w:space="0" w:color="auto"/>
        <w:bottom w:val="none" w:sz="0" w:space="0" w:color="auto"/>
        <w:right w:val="none" w:sz="0" w:space="0" w:color="auto"/>
      </w:divBdr>
      <w:divsChild>
        <w:div w:id="1981576398">
          <w:marLeft w:val="0"/>
          <w:marRight w:val="0"/>
          <w:marTop w:val="0"/>
          <w:marBottom w:val="0"/>
          <w:divBdr>
            <w:top w:val="none" w:sz="0" w:space="0" w:color="auto"/>
            <w:left w:val="none" w:sz="0" w:space="0" w:color="auto"/>
            <w:bottom w:val="none" w:sz="0" w:space="0" w:color="auto"/>
            <w:right w:val="none" w:sz="0" w:space="0" w:color="auto"/>
          </w:divBdr>
        </w:div>
        <w:div w:id="1733769546">
          <w:marLeft w:val="0"/>
          <w:marRight w:val="0"/>
          <w:marTop w:val="0"/>
          <w:marBottom w:val="0"/>
          <w:divBdr>
            <w:top w:val="none" w:sz="0" w:space="0" w:color="auto"/>
            <w:left w:val="none" w:sz="0" w:space="0" w:color="auto"/>
            <w:bottom w:val="none" w:sz="0" w:space="0" w:color="auto"/>
            <w:right w:val="none" w:sz="0" w:space="0" w:color="auto"/>
          </w:divBdr>
        </w:div>
      </w:divsChild>
    </w:div>
    <w:div w:id="1892616502">
      <w:bodyDiv w:val="1"/>
      <w:marLeft w:val="0"/>
      <w:marRight w:val="0"/>
      <w:marTop w:val="0"/>
      <w:marBottom w:val="0"/>
      <w:divBdr>
        <w:top w:val="none" w:sz="0" w:space="0" w:color="auto"/>
        <w:left w:val="none" w:sz="0" w:space="0" w:color="auto"/>
        <w:bottom w:val="none" w:sz="0" w:space="0" w:color="auto"/>
        <w:right w:val="none" w:sz="0" w:space="0" w:color="auto"/>
      </w:divBdr>
      <w:divsChild>
        <w:div w:id="1097558857">
          <w:marLeft w:val="0"/>
          <w:marRight w:val="0"/>
          <w:marTop w:val="0"/>
          <w:marBottom w:val="0"/>
          <w:divBdr>
            <w:top w:val="none" w:sz="0" w:space="0" w:color="auto"/>
            <w:left w:val="none" w:sz="0" w:space="0" w:color="auto"/>
            <w:bottom w:val="none" w:sz="0" w:space="0" w:color="auto"/>
            <w:right w:val="none" w:sz="0" w:space="0" w:color="auto"/>
          </w:divBdr>
        </w:div>
        <w:div w:id="588122469">
          <w:marLeft w:val="0"/>
          <w:marRight w:val="0"/>
          <w:marTop w:val="0"/>
          <w:marBottom w:val="0"/>
          <w:divBdr>
            <w:top w:val="none" w:sz="0" w:space="0" w:color="auto"/>
            <w:left w:val="none" w:sz="0" w:space="0" w:color="auto"/>
            <w:bottom w:val="none" w:sz="0" w:space="0" w:color="auto"/>
            <w:right w:val="none" w:sz="0" w:space="0" w:color="auto"/>
          </w:divBdr>
          <w:divsChild>
            <w:div w:id="1561020265">
              <w:marLeft w:val="15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e691bd1-edd3-47d6-aa9f-359e2f2ab79c}" enabled="1" method="Standard" siteId="{0235ba6b-2cf0-4b75-bc5d-d6187ce33de3}"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1436</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DHCS &amp; CDPH</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Debora@CHHS</dc:creator>
  <cp:keywords/>
  <dc:description/>
  <cp:lastModifiedBy>Nadler, Renee@DSS</cp:lastModifiedBy>
  <cp:revision>2</cp:revision>
  <dcterms:created xsi:type="dcterms:W3CDTF">2025-07-25T17:34:00Z</dcterms:created>
  <dcterms:modified xsi:type="dcterms:W3CDTF">2025-07-25T17:34:00Z</dcterms:modified>
</cp:coreProperties>
</file>