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25284487"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F67CCA">
              <w:rPr>
                <w:rFonts w:ascii="Calibri" w:hAnsi="Calibri" w:cs="Calibri"/>
                <w:color w:val="000000"/>
                <w:sz w:val="22"/>
                <w:szCs w:val="22"/>
              </w:rPr>
              <w:t>5</w:t>
            </w:r>
            <w:r w:rsidR="00B81151">
              <w:rPr>
                <w:rFonts w:ascii="Calibri" w:hAnsi="Calibri" w:cs="Calibri"/>
                <w:color w:val="000000"/>
                <w:sz w:val="22"/>
                <w:szCs w:val="22"/>
              </w:rPr>
              <w:t>91</w:t>
            </w:r>
            <w:r>
              <w:rPr>
                <w:rFonts w:ascii="Calibri" w:hAnsi="Calibri" w:cs="Calibri"/>
                <w:color w:val="000000"/>
                <w:sz w:val="22"/>
                <w:szCs w:val="22"/>
              </w:rPr>
              <w:t>-8421-</w:t>
            </w:r>
            <w:r w:rsidR="00F67CCA">
              <w:rPr>
                <w:rFonts w:ascii="Calibri" w:hAnsi="Calibri" w:cs="Calibri"/>
                <w:color w:val="000000"/>
                <w:sz w:val="22"/>
                <w:szCs w:val="22"/>
              </w:rPr>
              <w:t>270</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219219E8" w:rsidR="00BD76BB" w:rsidRPr="0020550A" w:rsidRDefault="00720D14"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Southern</w:t>
            </w:r>
            <w:r w:rsidR="006C1C3A">
              <w:rPr>
                <w:rFonts w:ascii="Arial" w:hAnsi="Arial" w:cs="Arial"/>
                <w:sz w:val="20"/>
              </w:rPr>
              <w:t xml:space="preserve"> </w:t>
            </w:r>
            <w:r w:rsidR="00565DD0">
              <w:rPr>
                <w:rFonts w:ascii="Arial" w:hAnsi="Arial" w:cs="Arial"/>
                <w:sz w:val="20"/>
              </w:rPr>
              <w:t>Enforcement District,</w:t>
            </w:r>
            <w:r w:rsidR="00175393">
              <w:rPr>
                <w:rFonts w:ascii="Arial" w:hAnsi="Arial" w:cs="Arial"/>
                <w:sz w:val="20"/>
              </w:rPr>
              <w:t xml:space="preserve"> </w:t>
            </w:r>
            <w:r w:rsidR="00F67CCA">
              <w:rPr>
                <w:rFonts w:ascii="Arial" w:hAnsi="Arial" w:cs="Arial"/>
                <w:sz w:val="20"/>
              </w:rPr>
              <w:t>Buellton</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E1B5" w14:textId="77777777" w:rsidR="00541320" w:rsidRDefault="00541320" w:rsidP="00BD0D5A">
      <w:r>
        <w:separator/>
      </w:r>
    </w:p>
  </w:endnote>
  <w:endnote w:type="continuationSeparator" w:id="0">
    <w:p w14:paraId="4BCACFE9" w14:textId="77777777" w:rsidR="00541320" w:rsidRDefault="00541320"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6D1C" w14:textId="77777777" w:rsidR="00541320" w:rsidRDefault="00541320" w:rsidP="00BD0D5A">
      <w:r>
        <w:separator/>
      </w:r>
    </w:p>
  </w:footnote>
  <w:footnote w:type="continuationSeparator" w:id="0">
    <w:p w14:paraId="0B5BFCC0" w14:textId="77777777" w:rsidR="00541320" w:rsidRDefault="00541320"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79FF"/>
    <w:rsid w:val="0001290E"/>
    <w:rsid w:val="000707CF"/>
    <w:rsid w:val="00080D79"/>
    <w:rsid w:val="000872EB"/>
    <w:rsid w:val="000A35C2"/>
    <w:rsid w:val="000B5329"/>
    <w:rsid w:val="000C490F"/>
    <w:rsid w:val="000F0F3F"/>
    <w:rsid w:val="000F345B"/>
    <w:rsid w:val="001374FD"/>
    <w:rsid w:val="00155548"/>
    <w:rsid w:val="001556FA"/>
    <w:rsid w:val="00165BB7"/>
    <w:rsid w:val="001674C8"/>
    <w:rsid w:val="00175393"/>
    <w:rsid w:val="00180652"/>
    <w:rsid w:val="00195189"/>
    <w:rsid w:val="001A1D7D"/>
    <w:rsid w:val="001B2213"/>
    <w:rsid w:val="001B59FE"/>
    <w:rsid w:val="001B7E77"/>
    <w:rsid w:val="001C2CDC"/>
    <w:rsid w:val="001D08AE"/>
    <w:rsid w:val="001E177B"/>
    <w:rsid w:val="001E34EB"/>
    <w:rsid w:val="001E4EF2"/>
    <w:rsid w:val="001F00D4"/>
    <w:rsid w:val="0020550A"/>
    <w:rsid w:val="00212B41"/>
    <w:rsid w:val="00215806"/>
    <w:rsid w:val="0022123E"/>
    <w:rsid w:val="00223C66"/>
    <w:rsid w:val="00231CD8"/>
    <w:rsid w:val="00236847"/>
    <w:rsid w:val="0023752A"/>
    <w:rsid w:val="0023763D"/>
    <w:rsid w:val="002461AA"/>
    <w:rsid w:val="002525A7"/>
    <w:rsid w:val="00264D3A"/>
    <w:rsid w:val="00266EF1"/>
    <w:rsid w:val="002757D1"/>
    <w:rsid w:val="002927E9"/>
    <w:rsid w:val="0029616B"/>
    <w:rsid w:val="002A2DE3"/>
    <w:rsid w:val="002C4C43"/>
    <w:rsid w:val="002D6C69"/>
    <w:rsid w:val="002F495B"/>
    <w:rsid w:val="00300C93"/>
    <w:rsid w:val="00314947"/>
    <w:rsid w:val="00335AED"/>
    <w:rsid w:val="003428EA"/>
    <w:rsid w:val="00354C72"/>
    <w:rsid w:val="00381E8D"/>
    <w:rsid w:val="00390A97"/>
    <w:rsid w:val="003A3EF8"/>
    <w:rsid w:val="003A7563"/>
    <w:rsid w:val="003B0A4C"/>
    <w:rsid w:val="003B2675"/>
    <w:rsid w:val="003B64C8"/>
    <w:rsid w:val="003D6DBB"/>
    <w:rsid w:val="003E3A26"/>
    <w:rsid w:val="003F227A"/>
    <w:rsid w:val="003F5C00"/>
    <w:rsid w:val="00401562"/>
    <w:rsid w:val="00401B6C"/>
    <w:rsid w:val="00407CC6"/>
    <w:rsid w:val="00411A9D"/>
    <w:rsid w:val="00416045"/>
    <w:rsid w:val="00417AA4"/>
    <w:rsid w:val="00423996"/>
    <w:rsid w:val="0043007A"/>
    <w:rsid w:val="0043017E"/>
    <w:rsid w:val="004526B6"/>
    <w:rsid w:val="00455951"/>
    <w:rsid w:val="00460B47"/>
    <w:rsid w:val="004714BF"/>
    <w:rsid w:val="00476D5F"/>
    <w:rsid w:val="00477449"/>
    <w:rsid w:val="0048617D"/>
    <w:rsid w:val="00496151"/>
    <w:rsid w:val="004C313D"/>
    <w:rsid w:val="004C6041"/>
    <w:rsid w:val="004F00DE"/>
    <w:rsid w:val="004F2964"/>
    <w:rsid w:val="004F681D"/>
    <w:rsid w:val="004F7A3D"/>
    <w:rsid w:val="005066D0"/>
    <w:rsid w:val="00512C01"/>
    <w:rsid w:val="0052774A"/>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4BBE"/>
    <w:rsid w:val="005F0C30"/>
    <w:rsid w:val="005F5652"/>
    <w:rsid w:val="006146D5"/>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710804"/>
    <w:rsid w:val="00711709"/>
    <w:rsid w:val="0071222B"/>
    <w:rsid w:val="00720D14"/>
    <w:rsid w:val="00721556"/>
    <w:rsid w:val="00732928"/>
    <w:rsid w:val="00737697"/>
    <w:rsid w:val="0075319C"/>
    <w:rsid w:val="0075565A"/>
    <w:rsid w:val="00771D60"/>
    <w:rsid w:val="00781B9D"/>
    <w:rsid w:val="007A57E3"/>
    <w:rsid w:val="007B1960"/>
    <w:rsid w:val="007C069F"/>
    <w:rsid w:val="007C5C6B"/>
    <w:rsid w:val="007D7DF7"/>
    <w:rsid w:val="007E4CD5"/>
    <w:rsid w:val="008041E8"/>
    <w:rsid w:val="00815B2D"/>
    <w:rsid w:val="008171C0"/>
    <w:rsid w:val="00833CD2"/>
    <w:rsid w:val="0083709C"/>
    <w:rsid w:val="00844152"/>
    <w:rsid w:val="00855A47"/>
    <w:rsid w:val="00875F43"/>
    <w:rsid w:val="008A30EF"/>
    <w:rsid w:val="008B738C"/>
    <w:rsid w:val="008C19B8"/>
    <w:rsid w:val="009105CD"/>
    <w:rsid w:val="00912620"/>
    <w:rsid w:val="00912C9C"/>
    <w:rsid w:val="0092068A"/>
    <w:rsid w:val="00924821"/>
    <w:rsid w:val="0092773B"/>
    <w:rsid w:val="00927D3B"/>
    <w:rsid w:val="00941DB7"/>
    <w:rsid w:val="00942271"/>
    <w:rsid w:val="00967855"/>
    <w:rsid w:val="00974086"/>
    <w:rsid w:val="00985615"/>
    <w:rsid w:val="00987A92"/>
    <w:rsid w:val="0099327F"/>
    <w:rsid w:val="009C4A6A"/>
    <w:rsid w:val="009C63C8"/>
    <w:rsid w:val="009F08F9"/>
    <w:rsid w:val="009F2F1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A0975"/>
    <w:rsid w:val="00AA48C9"/>
    <w:rsid w:val="00AB10C3"/>
    <w:rsid w:val="00AC245E"/>
    <w:rsid w:val="00AE6F4C"/>
    <w:rsid w:val="00AF4D18"/>
    <w:rsid w:val="00AF5633"/>
    <w:rsid w:val="00AF59C8"/>
    <w:rsid w:val="00B0058F"/>
    <w:rsid w:val="00B21FF9"/>
    <w:rsid w:val="00B22F75"/>
    <w:rsid w:val="00B25B3D"/>
    <w:rsid w:val="00B260E3"/>
    <w:rsid w:val="00B32313"/>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C03905"/>
    <w:rsid w:val="00C03C55"/>
    <w:rsid w:val="00C12B74"/>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A7A4A"/>
    <w:rsid w:val="00CB0808"/>
    <w:rsid w:val="00CB4E1D"/>
    <w:rsid w:val="00CD144B"/>
    <w:rsid w:val="00CE7E2F"/>
    <w:rsid w:val="00CF551D"/>
    <w:rsid w:val="00D0077E"/>
    <w:rsid w:val="00D32F08"/>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530"/>
    <w:rsid w:val="00DF13F7"/>
    <w:rsid w:val="00DF60E1"/>
    <w:rsid w:val="00DF6387"/>
    <w:rsid w:val="00E01A51"/>
    <w:rsid w:val="00E11EA9"/>
    <w:rsid w:val="00E14CC3"/>
    <w:rsid w:val="00E16DB7"/>
    <w:rsid w:val="00E24ED5"/>
    <w:rsid w:val="00E3120F"/>
    <w:rsid w:val="00E314AD"/>
    <w:rsid w:val="00E34E05"/>
    <w:rsid w:val="00E46616"/>
    <w:rsid w:val="00E46B3E"/>
    <w:rsid w:val="00E47115"/>
    <w:rsid w:val="00E527BB"/>
    <w:rsid w:val="00E668C1"/>
    <w:rsid w:val="00E66C6E"/>
    <w:rsid w:val="00E72EA4"/>
    <w:rsid w:val="00E81AA3"/>
    <w:rsid w:val="00EA3FE0"/>
    <w:rsid w:val="00EB2B2B"/>
    <w:rsid w:val="00EB2F56"/>
    <w:rsid w:val="00EC57D5"/>
    <w:rsid w:val="00ED13CA"/>
    <w:rsid w:val="00EE137B"/>
    <w:rsid w:val="00F04C36"/>
    <w:rsid w:val="00F272A8"/>
    <w:rsid w:val="00F36CBC"/>
    <w:rsid w:val="00F40826"/>
    <w:rsid w:val="00F56444"/>
    <w:rsid w:val="00F6112C"/>
    <w:rsid w:val="00F67CCA"/>
    <w:rsid w:val="00F91706"/>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2025-09-24T22:46:00Z</dcterms:created>
  <dcterms:modified xsi:type="dcterms:W3CDTF">2025-09-24T22:46:00Z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