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CellMar>
          <w:top w:w="58" w:type="dxa"/>
          <w:bottom w:w="58" w:type="dxa"/>
        </w:tblCellMar>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F26AB8">
        <w:trPr>
          <w:jc w:val="center"/>
        </w:trPr>
        <w:tc>
          <w:tcPr>
            <w:tcW w:w="8780" w:type="dxa"/>
            <w:gridSpan w:val="6"/>
            <w:tcBorders>
              <w:top w:val="nil"/>
              <w:left w:val="nil"/>
              <w:bottom w:val="nil"/>
            </w:tcBorders>
          </w:tcPr>
          <w:p w14:paraId="4E6DB626" w14:textId="662BCF27" w:rsidR="005943C7" w:rsidRPr="002E1CA3" w:rsidRDefault="005943C7" w:rsidP="007E7AE7">
            <w:pPr>
              <w:jc w:val="both"/>
              <w:rPr>
                <w:b/>
                <w:sz w:val="24"/>
                <w:szCs w:val="24"/>
              </w:rPr>
            </w:pPr>
            <w:r w:rsidRPr="002E1CA3">
              <w:rPr>
                <w:b/>
                <w:sz w:val="24"/>
                <w:szCs w:val="24"/>
              </w:rPr>
              <w:t>CALIFORNIA DEPARTMENT OF CORRECTIONS AND REHABILITATION</w:t>
            </w:r>
            <w:r w:rsidR="00897AF6">
              <w:rPr>
                <w:b/>
                <w:sz w:val="24"/>
                <w:szCs w:val="24"/>
              </w:rPr>
              <w:t xml:space="preserve"> </w:t>
            </w:r>
          </w:p>
        </w:tc>
        <w:tc>
          <w:tcPr>
            <w:tcW w:w="341" w:type="dxa"/>
            <w:tcBorders>
              <w:top w:val="single" w:sz="4" w:space="0" w:color="auto"/>
              <w:bottom w:val="single" w:sz="4" w:space="0" w:color="auto"/>
            </w:tcBorders>
          </w:tcPr>
          <w:p w14:paraId="61F1ACA4" w14:textId="77777777" w:rsidR="005943C7" w:rsidRPr="002E1CA3" w:rsidRDefault="005943C7" w:rsidP="007E7AE7">
            <w:pPr>
              <w:jc w:val="both"/>
              <w:rPr>
                <w:sz w:val="24"/>
                <w:szCs w:val="24"/>
              </w:rPr>
            </w:pPr>
          </w:p>
        </w:tc>
        <w:tc>
          <w:tcPr>
            <w:tcW w:w="1687" w:type="dxa"/>
            <w:gridSpan w:val="3"/>
            <w:tcBorders>
              <w:top w:val="nil"/>
              <w:bottom w:val="nil"/>
              <w:right w:val="nil"/>
            </w:tcBorders>
          </w:tcPr>
          <w:p w14:paraId="0F78EB72" w14:textId="77777777" w:rsidR="005943C7" w:rsidRPr="002E1CA3" w:rsidRDefault="005943C7" w:rsidP="007E7AE7">
            <w:pPr>
              <w:jc w:val="both"/>
              <w:rPr>
                <w:sz w:val="24"/>
                <w:szCs w:val="24"/>
              </w:rPr>
            </w:pPr>
            <w:r w:rsidRPr="002E1CA3">
              <w:rPr>
                <w:sz w:val="24"/>
                <w:szCs w:val="24"/>
              </w:rPr>
              <w:t>PROPOSED</w:t>
            </w:r>
          </w:p>
        </w:tc>
      </w:tr>
      <w:tr w:rsidR="002E1CA3" w:rsidRPr="002E1CA3" w14:paraId="05CBA305" w14:textId="77777777" w:rsidTr="00F26AB8">
        <w:trPr>
          <w:jc w:val="center"/>
        </w:trPr>
        <w:tc>
          <w:tcPr>
            <w:tcW w:w="5405" w:type="dxa"/>
            <w:gridSpan w:val="3"/>
            <w:tcBorders>
              <w:top w:val="nil"/>
              <w:left w:val="nil"/>
              <w:bottom w:val="nil"/>
              <w:right w:val="nil"/>
            </w:tcBorders>
          </w:tcPr>
          <w:p w14:paraId="1F59FBF0" w14:textId="1A010A32" w:rsidR="00CD0D6A" w:rsidRPr="002E1CA3" w:rsidRDefault="005943C7" w:rsidP="007E7AE7">
            <w:pPr>
              <w:jc w:val="both"/>
              <w:rPr>
                <w:sz w:val="20"/>
                <w:szCs w:val="20"/>
              </w:rPr>
            </w:pPr>
            <w:r w:rsidRPr="002E1CA3">
              <w:rPr>
                <w:sz w:val="20"/>
                <w:szCs w:val="20"/>
              </w:rPr>
              <w:t>POSITION DUTY STATEMENT</w:t>
            </w:r>
            <w:r w:rsidR="0066790C">
              <w:rPr>
                <w:sz w:val="20"/>
                <w:szCs w:val="20"/>
              </w:rPr>
              <w:t xml:space="preserve"> - General</w:t>
            </w:r>
          </w:p>
        </w:tc>
        <w:tc>
          <w:tcPr>
            <w:tcW w:w="5403" w:type="dxa"/>
            <w:gridSpan w:val="7"/>
            <w:tcBorders>
              <w:top w:val="nil"/>
              <w:left w:val="nil"/>
              <w:bottom w:val="nil"/>
              <w:right w:val="nil"/>
            </w:tcBorders>
          </w:tcPr>
          <w:p w14:paraId="5A22D82A" w14:textId="77777777" w:rsidR="00CD0D6A" w:rsidRPr="002E1CA3" w:rsidRDefault="00CD0D6A" w:rsidP="007E7AE7">
            <w:pPr>
              <w:jc w:val="both"/>
              <w:rPr>
                <w:sz w:val="24"/>
                <w:szCs w:val="24"/>
              </w:rPr>
            </w:pPr>
          </w:p>
        </w:tc>
      </w:tr>
      <w:tr w:rsidR="002E1CA3" w:rsidRPr="002E1CA3" w14:paraId="39CA46A1" w14:textId="77777777" w:rsidTr="00F26AB8">
        <w:trPr>
          <w:jc w:val="center"/>
        </w:trPr>
        <w:tc>
          <w:tcPr>
            <w:tcW w:w="5405" w:type="dxa"/>
            <w:gridSpan w:val="3"/>
            <w:tcBorders>
              <w:top w:val="nil"/>
              <w:left w:val="nil"/>
              <w:bottom w:val="nil"/>
              <w:right w:val="nil"/>
            </w:tcBorders>
          </w:tcPr>
          <w:p w14:paraId="7039AF89" w14:textId="77777777" w:rsidR="00CD0D6A" w:rsidRPr="002E1CA3" w:rsidRDefault="00CD0D6A" w:rsidP="007E7AE7">
            <w:pPr>
              <w:jc w:val="both"/>
              <w:rPr>
                <w:sz w:val="24"/>
                <w:szCs w:val="24"/>
              </w:rPr>
            </w:pPr>
          </w:p>
        </w:tc>
        <w:tc>
          <w:tcPr>
            <w:tcW w:w="3375" w:type="dxa"/>
            <w:gridSpan w:val="3"/>
            <w:tcBorders>
              <w:top w:val="nil"/>
              <w:left w:val="nil"/>
              <w:bottom w:val="nil"/>
            </w:tcBorders>
          </w:tcPr>
          <w:p w14:paraId="701007DD" w14:textId="77777777" w:rsidR="00CD0D6A" w:rsidRPr="002E1CA3" w:rsidRDefault="00CD0D6A" w:rsidP="007E7AE7">
            <w:pPr>
              <w:jc w:val="both"/>
              <w:rPr>
                <w:sz w:val="24"/>
                <w:szCs w:val="24"/>
              </w:rPr>
            </w:pPr>
          </w:p>
        </w:tc>
        <w:tc>
          <w:tcPr>
            <w:tcW w:w="341" w:type="dxa"/>
            <w:tcBorders>
              <w:top w:val="single" w:sz="4" w:space="0" w:color="auto"/>
              <w:bottom w:val="single" w:sz="4" w:space="0" w:color="auto"/>
            </w:tcBorders>
          </w:tcPr>
          <w:p w14:paraId="320A951C" w14:textId="56C26D86" w:rsidR="00CD0D6A" w:rsidRPr="002E1CA3" w:rsidRDefault="00CD0D6A" w:rsidP="007E7AE7">
            <w:pPr>
              <w:jc w:val="both"/>
              <w:rPr>
                <w:sz w:val="24"/>
                <w:szCs w:val="24"/>
              </w:rPr>
            </w:pPr>
          </w:p>
        </w:tc>
        <w:tc>
          <w:tcPr>
            <w:tcW w:w="1687" w:type="dxa"/>
            <w:gridSpan w:val="3"/>
            <w:tcBorders>
              <w:top w:val="nil"/>
              <w:bottom w:val="nil"/>
              <w:right w:val="nil"/>
            </w:tcBorders>
          </w:tcPr>
          <w:p w14:paraId="5B071555" w14:textId="77777777" w:rsidR="00CD0D6A" w:rsidRPr="002E1CA3" w:rsidRDefault="00CD0D6A" w:rsidP="007E7AE7">
            <w:pPr>
              <w:jc w:val="both"/>
              <w:rPr>
                <w:sz w:val="24"/>
                <w:szCs w:val="24"/>
              </w:rPr>
            </w:pPr>
            <w:r w:rsidRPr="002E1CA3">
              <w:rPr>
                <w:sz w:val="24"/>
                <w:szCs w:val="24"/>
              </w:rPr>
              <w:t>CURRENT</w:t>
            </w:r>
          </w:p>
        </w:tc>
      </w:tr>
      <w:tr w:rsidR="002E1CA3" w:rsidRPr="002E1CA3" w14:paraId="0FA26A8C" w14:textId="77777777" w:rsidTr="00AA56B2">
        <w:trPr>
          <w:trHeight w:val="24"/>
          <w:jc w:val="center"/>
        </w:trPr>
        <w:tc>
          <w:tcPr>
            <w:tcW w:w="5405" w:type="dxa"/>
            <w:gridSpan w:val="3"/>
            <w:tcBorders>
              <w:top w:val="nil"/>
              <w:left w:val="nil"/>
              <w:bottom w:val="single" w:sz="4" w:space="0" w:color="auto"/>
              <w:right w:val="nil"/>
            </w:tcBorders>
          </w:tcPr>
          <w:p w14:paraId="200465C8" w14:textId="77777777" w:rsidR="00CD0D6A" w:rsidRPr="00AA56B2" w:rsidRDefault="00CD0D6A" w:rsidP="007E7AE7">
            <w:pPr>
              <w:jc w:val="both"/>
              <w:rPr>
                <w:sz w:val="16"/>
                <w:szCs w:val="16"/>
              </w:rPr>
            </w:pPr>
          </w:p>
        </w:tc>
        <w:tc>
          <w:tcPr>
            <w:tcW w:w="5403" w:type="dxa"/>
            <w:gridSpan w:val="7"/>
            <w:tcBorders>
              <w:top w:val="nil"/>
              <w:left w:val="nil"/>
              <w:bottom w:val="single" w:sz="4" w:space="0" w:color="auto"/>
              <w:right w:val="nil"/>
            </w:tcBorders>
          </w:tcPr>
          <w:p w14:paraId="63C17495" w14:textId="77777777" w:rsidR="00CD0D6A" w:rsidRPr="00AA56B2" w:rsidRDefault="00CD0D6A" w:rsidP="007E7AE7">
            <w:pPr>
              <w:jc w:val="both"/>
              <w:rPr>
                <w:sz w:val="16"/>
                <w:szCs w:val="16"/>
              </w:rPr>
            </w:pPr>
          </w:p>
        </w:tc>
      </w:tr>
      <w:tr w:rsidR="00A06728" w:rsidRPr="002E1CA3" w14:paraId="2BE7F333" w14:textId="77777777" w:rsidTr="00F26AB8">
        <w:trPr>
          <w:jc w:val="center"/>
        </w:trPr>
        <w:tc>
          <w:tcPr>
            <w:tcW w:w="5405" w:type="dxa"/>
            <w:gridSpan w:val="3"/>
            <w:tcBorders>
              <w:top w:val="single" w:sz="4" w:space="0" w:color="auto"/>
              <w:left w:val="single" w:sz="4" w:space="0" w:color="auto"/>
              <w:bottom w:val="nil"/>
            </w:tcBorders>
          </w:tcPr>
          <w:p w14:paraId="64DE3E58" w14:textId="77777777" w:rsidR="00A06728" w:rsidRPr="002E1CA3" w:rsidRDefault="00A06728" w:rsidP="007E7AE7">
            <w:pPr>
              <w:jc w:val="both"/>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rsidP="007E7AE7">
            <w:pPr>
              <w:jc w:val="both"/>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7E7AE7">
            <w:pPr>
              <w:jc w:val="both"/>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F26AB8">
        <w:trPr>
          <w:trHeight w:val="122"/>
          <w:jc w:val="center"/>
        </w:trPr>
        <w:tc>
          <w:tcPr>
            <w:tcW w:w="5405" w:type="dxa"/>
            <w:gridSpan w:val="3"/>
            <w:tcBorders>
              <w:top w:val="nil"/>
              <w:left w:val="single" w:sz="4" w:space="0" w:color="auto"/>
              <w:bottom w:val="single" w:sz="4" w:space="0" w:color="auto"/>
            </w:tcBorders>
          </w:tcPr>
          <w:p w14:paraId="7C69B0E8" w14:textId="0E5A27C8" w:rsidR="00A06728" w:rsidRPr="002E1CA3" w:rsidRDefault="00AA4D0A" w:rsidP="007E7AE7">
            <w:pPr>
              <w:jc w:val="both"/>
              <w:rPr>
                <w:sz w:val="24"/>
                <w:szCs w:val="24"/>
              </w:rPr>
            </w:pPr>
            <w:r>
              <w:rPr>
                <w:sz w:val="24"/>
                <w:szCs w:val="24"/>
              </w:rPr>
              <w:t>Office of Fiscal Services – Accounting Services Branch</w:t>
            </w:r>
          </w:p>
        </w:tc>
        <w:tc>
          <w:tcPr>
            <w:tcW w:w="4325" w:type="dxa"/>
            <w:gridSpan w:val="6"/>
            <w:tcBorders>
              <w:top w:val="nil"/>
              <w:bottom w:val="single" w:sz="4" w:space="0" w:color="auto"/>
            </w:tcBorders>
            <w:vAlign w:val="center"/>
          </w:tcPr>
          <w:p w14:paraId="7DB4BC1F" w14:textId="54DEA5C8" w:rsidR="00A06728" w:rsidRPr="00167A73" w:rsidRDefault="004563E3" w:rsidP="007E7AE7">
            <w:pPr>
              <w:jc w:val="both"/>
            </w:pPr>
            <w:r>
              <w:t>065-521-4567-004</w:t>
            </w:r>
          </w:p>
        </w:tc>
        <w:tc>
          <w:tcPr>
            <w:tcW w:w="1078" w:type="dxa"/>
            <w:tcBorders>
              <w:top w:val="nil"/>
              <w:bottom w:val="single" w:sz="4" w:space="0" w:color="auto"/>
            </w:tcBorders>
            <w:vAlign w:val="center"/>
          </w:tcPr>
          <w:p w14:paraId="19A1FD9B" w14:textId="77777777" w:rsidR="00A06728" w:rsidRPr="00167A73" w:rsidRDefault="00A06728" w:rsidP="007E7AE7">
            <w:pPr>
              <w:jc w:val="both"/>
            </w:pPr>
          </w:p>
        </w:tc>
      </w:tr>
      <w:tr w:rsidR="004120A7" w:rsidRPr="002E1CA3" w14:paraId="7D25EBD4" w14:textId="77777777" w:rsidTr="00F26AB8">
        <w:trPr>
          <w:jc w:val="center"/>
        </w:trPr>
        <w:tc>
          <w:tcPr>
            <w:tcW w:w="5405" w:type="dxa"/>
            <w:gridSpan w:val="3"/>
            <w:tcBorders>
              <w:top w:val="single" w:sz="4" w:space="0" w:color="auto"/>
              <w:bottom w:val="nil"/>
            </w:tcBorders>
          </w:tcPr>
          <w:p w14:paraId="489AE077"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F26AB8">
        <w:trPr>
          <w:jc w:val="center"/>
        </w:trPr>
        <w:tc>
          <w:tcPr>
            <w:tcW w:w="5405" w:type="dxa"/>
            <w:gridSpan w:val="3"/>
            <w:vMerge w:val="restart"/>
            <w:tcBorders>
              <w:top w:val="nil"/>
            </w:tcBorders>
            <w:vAlign w:val="center"/>
          </w:tcPr>
          <w:p w14:paraId="32D51289" w14:textId="3A8C0265" w:rsidR="004120A7" w:rsidRPr="00167A73" w:rsidRDefault="007D02AD" w:rsidP="004563E3">
            <w:r w:rsidRPr="001A531D">
              <w:t xml:space="preserve">Accounting Services Branch (ASB) – </w:t>
            </w:r>
            <w:r w:rsidR="004563E3">
              <w:t>Paso Robles</w:t>
            </w:r>
          </w:p>
        </w:tc>
        <w:tc>
          <w:tcPr>
            <w:tcW w:w="5403" w:type="dxa"/>
            <w:gridSpan w:val="7"/>
            <w:tcBorders>
              <w:top w:val="nil"/>
              <w:bottom w:val="single" w:sz="4" w:space="0" w:color="auto"/>
            </w:tcBorders>
            <w:vAlign w:val="center"/>
          </w:tcPr>
          <w:p w14:paraId="3334E89D" w14:textId="63ABF725" w:rsidR="004120A7" w:rsidRPr="00167A73" w:rsidRDefault="004563E3" w:rsidP="007E7AE7">
            <w:pPr>
              <w:jc w:val="both"/>
            </w:pPr>
            <w:r>
              <w:t>Senior Accounting Officer, Specialist</w:t>
            </w:r>
          </w:p>
        </w:tc>
      </w:tr>
      <w:tr w:rsidR="004120A7" w:rsidRPr="002E1CA3" w14:paraId="11B2C64D" w14:textId="77777777" w:rsidTr="00F26AB8">
        <w:trPr>
          <w:jc w:val="center"/>
        </w:trPr>
        <w:tc>
          <w:tcPr>
            <w:tcW w:w="5405" w:type="dxa"/>
            <w:gridSpan w:val="3"/>
            <w:vMerge/>
          </w:tcPr>
          <w:p w14:paraId="36B72ABC" w14:textId="77777777" w:rsidR="004120A7" w:rsidRPr="00F77711" w:rsidRDefault="004120A7" w:rsidP="007E7AE7">
            <w:pPr>
              <w:jc w:val="both"/>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F26AB8">
        <w:trPr>
          <w:jc w:val="center"/>
        </w:trPr>
        <w:tc>
          <w:tcPr>
            <w:tcW w:w="5405" w:type="dxa"/>
            <w:gridSpan w:val="3"/>
            <w:vMerge/>
            <w:vAlign w:val="center"/>
          </w:tcPr>
          <w:p w14:paraId="126E302C" w14:textId="77777777" w:rsidR="004120A7" w:rsidRPr="00167A73" w:rsidRDefault="004120A7" w:rsidP="007E7AE7">
            <w:pPr>
              <w:jc w:val="both"/>
            </w:pPr>
          </w:p>
        </w:tc>
        <w:tc>
          <w:tcPr>
            <w:tcW w:w="5403" w:type="dxa"/>
            <w:gridSpan w:val="7"/>
            <w:tcBorders>
              <w:top w:val="nil"/>
              <w:bottom w:val="single" w:sz="4" w:space="0" w:color="auto"/>
            </w:tcBorders>
            <w:vAlign w:val="center"/>
          </w:tcPr>
          <w:p w14:paraId="283AC44E" w14:textId="7212911A" w:rsidR="004120A7" w:rsidRPr="00167A73" w:rsidRDefault="00E418B8" w:rsidP="007E7AE7">
            <w:pPr>
              <w:jc w:val="both"/>
            </w:pPr>
            <w:r>
              <w:t>Senior Accounting Officer, Specialist</w:t>
            </w:r>
          </w:p>
        </w:tc>
      </w:tr>
      <w:tr w:rsidR="004120A7" w:rsidRPr="002E1CA3" w14:paraId="07758462" w14:textId="77777777" w:rsidTr="00F26AB8">
        <w:trPr>
          <w:jc w:val="center"/>
        </w:trPr>
        <w:tc>
          <w:tcPr>
            <w:tcW w:w="5405" w:type="dxa"/>
            <w:gridSpan w:val="3"/>
            <w:vMerge/>
          </w:tcPr>
          <w:p w14:paraId="47D6A99F" w14:textId="77777777" w:rsidR="004120A7" w:rsidRPr="00F77711" w:rsidRDefault="004120A7" w:rsidP="007E7AE7">
            <w:pPr>
              <w:jc w:val="both"/>
              <w:rPr>
                <w:b/>
                <w:color w:val="7F7F7F" w:themeColor="text1" w:themeTint="80"/>
                <w:sz w:val="16"/>
                <w:szCs w:val="16"/>
              </w:rPr>
            </w:pPr>
          </w:p>
        </w:tc>
        <w:tc>
          <w:tcPr>
            <w:tcW w:w="1351" w:type="dxa"/>
            <w:tcBorders>
              <w:bottom w:val="nil"/>
            </w:tcBorders>
          </w:tcPr>
          <w:p w14:paraId="11360CE9" w14:textId="6C489F6E" w:rsidR="004120A7" w:rsidRPr="00F77711" w:rsidRDefault="003D4110" w:rsidP="00560A33">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F26AB8">
        <w:trPr>
          <w:jc w:val="center"/>
        </w:trPr>
        <w:tc>
          <w:tcPr>
            <w:tcW w:w="5405" w:type="dxa"/>
            <w:gridSpan w:val="3"/>
            <w:vMerge/>
            <w:tcBorders>
              <w:bottom w:val="single" w:sz="4" w:space="0" w:color="auto"/>
            </w:tcBorders>
            <w:vAlign w:val="center"/>
          </w:tcPr>
          <w:p w14:paraId="426468C3" w14:textId="77777777" w:rsidR="004120A7" w:rsidRPr="00167A73" w:rsidRDefault="004120A7" w:rsidP="007E7AE7">
            <w:pPr>
              <w:jc w:val="both"/>
            </w:pPr>
          </w:p>
        </w:tc>
        <w:tc>
          <w:tcPr>
            <w:tcW w:w="1351" w:type="dxa"/>
            <w:tcBorders>
              <w:top w:val="nil"/>
              <w:bottom w:val="single" w:sz="4" w:space="0" w:color="auto"/>
            </w:tcBorders>
            <w:vAlign w:val="center"/>
          </w:tcPr>
          <w:p w14:paraId="2113CD6B" w14:textId="627A3611" w:rsidR="004120A7" w:rsidRPr="00167A73" w:rsidRDefault="00720BCC" w:rsidP="007E7AE7">
            <w:pPr>
              <w:spacing w:before="40" w:after="40"/>
              <w:jc w:val="both"/>
            </w:pPr>
            <w:r>
              <w:t>Full Time</w:t>
            </w:r>
          </w:p>
        </w:tc>
        <w:tc>
          <w:tcPr>
            <w:tcW w:w="1351" w:type="dxa"/>
            <w:tcBorders>
              <w:top w:val="nil"/>
              <w:bottom w:val="single" w:sz="4" w:space="0" w:color="auto"/>
            </w:tcBorders>
            <w:vAlign w:val="center"/>
          </w:tcPr>
          <w:p w14:paraId="0FBC4DC7" w14:textId="172FBD9A" w:rsidR="004120A7" w:rsidRPr="00167A73" w:rsidRDefault="00EA2409" w:rsidP="007E7AE7">
            <w:pPr>
              <w:jc w:val="both"/>
            </w:pPr>
            <w:r>
              <w:t>R01</w:t>
            </w:r>
          </w:p>
        </w:tc>
        <w:tc>
          <w:tcPr>
            <w:tcW w:w="1352" w:type="dxa"/>
            <w:gridSpan w:val="3"/>
            <w:tcBorders>
              <w:top w:val="nil"/>
              <w:bottom w:val="single" w:sz="4" w:space="0" w:color="auto"/>
            </w:tcBorders>
            <w:vAlign w:val="center"/>
          </w:tcPr>
          <w:p w14:paraId="46007ED8" w14:textId="14323259" w:rsidR="004120A7" w:rsidRPr="00167A73" w:rsidRDefault="00EA2409" w:rsidP="007E7AE7">
            <w:pPr>
              <w:jc w:val="both"/>
            </w:pPr>
            <w:r>
              <w:t>2</w:t>
            </w:r>
          </w:p>
        </w:tc>
        <w:tc>
          <w:tcPr>
            <w:tcW w:w="1349" w:type="dxa"/>
            <w:gridSpan w:val="2"/>
            <w:tcBorders>
              <w:top w:val="nil"/>
              <w:bottom w:val="single" w:sz="4" w:space="0" w:color="auto"/>
            </w:tcBorders>
            <w:vAlign w:val="center"/>
          </w:tcPr>
          <w:p w14:paraId="1C0EFD1D" w14:textId="27F9050E" w:rsidR="004120A7" w:rsidRPr="00167A73" w:rsidRDefault="004120A7" w:rsidP="007E7AE7">
            <w:pPr>
              <w:spacing w:before="40" w:after="40"/>
              <w:jc w:val="both"/>
            </w:pPr>
            <w:r w:rsidRPr="0035585C">
              <w:rPr>
                <w:sz w:val="16"/>
                <w:szCs w:val="16"/>
              </w:rPr>
              <w:t xml:space="preserve">Yes </w:t>
            </w:r>
            <w:r w:rsidR="008A44C6">
              <w:rPr>
                <w:sz w:val="16"/>
                <w:szCs w:val="16"/>
              </w:rPr>
              <w:fldChar w:fldCharType="begin">
                <w:ffData>
                  <w:name w:val="Check1"/>
                  <w:enabled/>
                  <w:calcOnExit w:val="0"/>
                  <w:checkBox>
                    <w:sizeAuto/>
                    <w:default w:val="0"/>
                  </w:checkBox>
                </w:ffData>
              </w:fldChar>
            </w:r>
            <w:r w:rsidR="008A44C6">
              <w:rPr>
                <w:sz w:val="16"/>
                <w:szCs w:val="16"/>
              </w:rPr>
              <w:instrText xml:space="preserve"> </w:instrText>
            </w:r>
            <w:bookmarkStart w:id="0" w:name="Check1"/>
            <w:r w:rsidR="008A44C6">
              <w:rPr>
                <w:sz w:val="16"/>
                <w:szCs w:val="16"/>
              </w:rPr>
              <w:instrText xml:space="preserve">FORMCHECKBOX </w:instrText>
            </w:r>
            <w:r w:rsidR="008A44C6">
              <w:rPr>
                <w:sz w:val="16"/>
                <w:szCs w:val="16"/>
              </w:rPr>
            </w:r>
            <w:r w:rsidR="008A44C6">
              <w:rPr>
                <w:sz w:val="16"/>
                <w:szCs w:val="16"/>
              </w:rPr>
              <w:fldChar w:fldCharType="separate"/>
            </w:r>
            <w:r w:rsidR="008A44C6">
              <w:rPr>
                <w:sz w:val="16"/>
                <w:szCs w:val="16"/>
              </w:rPr>
              <w:fldChar w:fldCharType="end"/>
            </w:r>
            <w:bookmarkEnd w:id="0"/>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r>
      <w:tr w:rsidR="004120A7" w:rsidRPr="002E1CA3" w14:paraId="3C4D39A4" w14:textId="77777777" w:rsidTr="00F26AB8">
        <w:trPr>
          <w:jc w:val="center"/>
        </w:trPr>
        <w:tc>
          <w:tcPr>
            <w:tcW w:w="5405" w:type="dxa"/>
            <w:gridSpan w:val="3"/>
            <w:tcBorders>
              <w:bottom w:val="nil"/>
            </w:tcBorders>
          </w:tcPr>
          <w:p w14:paraId="52E4EDA6"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F26AB8">
        <w:trPr>
          <w:jc w:val="center"/>
        </w:trPr>
        <w:tc>
          <w:tcPr>
            <w:tcW w:w="5405" w:type="dxa"/>
            <w:gridSpan w:val="3"/>
            <w:tcBorders>
              <w:top w:val="nil"/>
              <w:bottom w:val="single" w:sz="4" w:space="0" w:color="auto"/>
            </w:tcBorders>
            <w:vAlign w:val="center"/>
          </w:tcPr>
          <w:p w14:paraId="79A90B7D" w14:textId="50E85C79" w:rsidR="004120A7" w:rsidRPr="00167A73" w:rsidRDefault="004563E3" w:rsidP="00136EF4">
            <w:pPr>
              <w:jc w:val="both"/>
            </w:pPr>
            <w:r>
              <w:t>Oak St, Paso Robles, CA  93447</w:t>
            </w:r>
          </w:p>
        </w:tc>
        <w:tc>
          <w:tcPr>
            <w:tcW w:w="3375" w:type="dxa"/>
            <w:gridSpan w:val="3"/>
            <w:tcBorders>
              <w:top w:val="nil"/>
              <w:bottom w:val="single" w:sz="4" w:space="0" w:color="auto"/>
            </w:tcBorders>
            <w:vAlign w:val="center"/>
          </w:tcPr>
          <w:p w14:paraId="652AAA80" w14:textId="77777777" w:rsidR="004120A7" w:rsidRPr="00167A73" w:rsidRDefault="004120A7" w:rsidP="007E7AE7">
            <w:pPr>
              <w:jc w:val="both"/>
            </w:pPr>
          </w:p>
        </w:tc>
        <w:tc>
          <w:tcPr>
            <w:tcW w:w="2028" w:type="dxa"/>
            <w:gridSpan w:val="4"/>
            <w:tcBorders>
              <w:top w:val="nil"/>
              <w:bottom w:val="single" w:sz="4" w:space="0" w:color="auto"/>
            </w:tcBorders>
            <w:vAlign w:val="center"/>
          </w:tcPr>
          <w:p w14:paraId="30DBE683" w14:textId="29C7792F" w:rsidR="004120A7" w:rsidRPr="00167A73" w:rsidRDefault="00BD1CD7" w:rsidP="007E7AE7">
            <w:pPr>
              <w:jc w:val="both"/>
            </w:pPr>
            <w:r>
              <w:t>2026</w:t>
            </w:r>
          </w:p>
        </w:tc>
      </w:tr>
      <w:tr w:rsidR="004120A7" w:rsidRPr="002E1CA3" w14:paraId="3256F39E" w14:textId="77777777" w:rsidTr="00F26AB8">
        <w:trPr>
          <w:jc w:val="center"/>
        </w:trPr>
        <w:tc>
          <w:tcPr>
            <w:tcW w:w="10808" w:type="dxa"/>
            <w:gridSpan w:val="10"/>
            <w:tcBorders>
              <w:bottom w:val="single" w:sz="4" w:space="0" w:color="auto"/>
            </w:tcBorders>
            <w:shd w:val="clear" w:color="auto" w:fill="D9D9D9" w:themeFill="background1" w:themeFillShade="D9"/>
          </w:tcPr>
          <w:p w14:paraId="181D2D13" w14:textId="0C85970C" w:rsidR="004120A7" w:rsidRPr="002E1CA3" w:rsidRDefault="004120A7" w:rsidP="00954A05">
            <w:pPr>
              <w:jc w:val="both"/>
              <w:rPr>
                <w:b/>
                <w:sz w:val="20"/>
                <w:szCs w:val="20"/>
              </w:rPr>
            </w:pPr>
            <w:r>
              <w:rPr>
                <w:b/>
                <w:sz w:val="20"/>
                <w:szCs w:val="20"/>
              </w:rPr>
              <w:t>CDCR’S MISSION</w:t>
            </w:r>
            <w:r w:rsidR="00632FF7">
              <w:rPr>
                <w:b/>
                <w:sz w:val="20"/>
                <w:szCs w:val="20"/>
              </w:rPr>
              <w:t xml:space="preserve"> and VISION</w:t>
            </w:r>
          </w:p>
        </w:tc>
      </w:tr>
      <w:tr w:rsidR="004120A7" w:rsidRPr="002E1CA3" w14:paraId="6408DA42" w14:textId="77777777" w:rsidTr="00F26AB8">
        <w:trPr>
          <w:jc w:val="center"/>
        </w:trPr>
        <w:tc>
          <w:tcPr>
            <w:tcW w:w="10808" w:type="dxa"/>
            <w:gridSpan w:val="10"/>
            <w:tcBorders>
              <w:top w:val="nil"/>
              <w:bottom w:val="single" w:sz="4" w:space="0" w:color="auto"/>
            </w:tcBorders>
          </w:tcPr>
          <w:p w14:paraId="1BA10F5B" w14:textId="77777777" w:rsidR="00632FF7" w:rsidRPr="00F667B8" w:rsidRDefault="00632FF7" w:rsidP="007E7AE7">
            <w:pPr>
              <w:jc w:val="both"/>
              <w:rPr>
                <w:rFonts w:cs="Arial"/>
                <w:b/>
                <w:bCs/>
                <w:sz w:val="20"/>
              </w:rPr>
            </w:pPr>
            <w:r w:rsidRPr="00F667B8">
              <w:rPr>
                <w:rFonts w:cs="Arial"/>
                <w:b/>
                <w:bCs/>
                <w:sz w:val="20"/>
              </w:rPr>
              <w:t>Mission</w:t>
            </w:r>
          </w:p>
          <w:p w14:paraId="2A250794" w14:textId="77777777" w:rsidR="00EE7815" w:rsidRDefault="00EE7815" w:rsidP="007E7AE7">
            <w:pPr>
              <w:jc w:val="both"/>
              <w:rPr>
                <w:rFonts w:cs="Arial"/>
                <w:sz w:val="20"/>
              </w:rPr>
            </w:pPr>
            <w:r w:rsidRPr="00EE7815">
              <w:rPr>
                <w:rFonts w:cs="Arial"/>
                <w:sz w:val="20"/>
              </w:rPr>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4F647EA5" w14:textId="77777777" w:rsidR="00EE7815" w:rsidRDefault="00EE7815" w:rsidP="007E7AE7">
            <w:pPr>
              <w:jc w:val="both"/>
              <w:rPr>
                <w:rFonts w:cs="Arial"/>
                <w:b/>
                <w:bCs/>
                <w:sz w:val="20"/>
              </w:rPr>
            </w:pPr>
          </w:p>
          <w:p w14:paraId="702E02FD" w14:textId="69A08D95" w:rsidR="00632FF7" w:rsidRPr="00F667B8" w:rsidRDefault="00632FF7" w:rsidP="007E7AE7">
            <w:pPr>
              <w:jc w:val="both"/>
              <w:rPr>
                <w:rFonts w:cs="Arial"/>
                <w:b/>
                <w:bCs/>
                <w:sz w:val="20"/>
              </w:rPr>
            </w:pPr>
            <w:r w:rsidRPr="00F667B8">
              <w:rPr>
                <w:rFonts w:cs="Arial"/>
                <w:b/>
                <w:bCs/>
                <w:sz w:val="20"/>
              </w:rPr>
              <w:t>Vision</w:t>
            </w:r>
          </w:p>
          <w:p w14:paraId="4CCCB356" w14:textId="6DAE24DC" w:rsidR="0006712E" w:rsidRPr="002E1CA3" w:rsidRDefault="00F667B8" w:rsidP="007E7AE7">
            <w:pPr>
              <w:jc w:val="both"/>
              <w:rPr>
                <w:sz w:val="20"/>
                <w:szCs w:val="20"/>
              </w:rPr>
            </w:pPr>
            <w:r w:rsidRPr="00F667B8">
              <w:rPr>
                <w:sz w:val="20"/>
                <w:szCs w:val="20"/>
              </w:rPr>
              <w:t>We enhance public safety and promote successful community reintegration through education, treatment, and active participation in rehabilitative and restorative justice programs.</w:t>
            </w:r>
          </w:p>
        </w:tc>
      </w:tr>
      <w:tr w:rsidR="004120A7" w:rsidRPr="002E1CA3" w14:paraId="0F8F7200" w14:textId="77777777" w:rsidTr="00F26AB8">
        <w:trPr>
          <w:jc w:val="center"/>
        </w:trPr>
        <w:tc>
          <w:tcPr>
            <w:tcW w:w="10808" w:type="dxa"/>
            <w:gridSpan w:val="10"/>
            <w:tcBorders>
              <w:bottom w:val="single" w:sz="4" w:space="0" w:color="auto"/>
            </w:tcBorders>
            <w:shd w:val="clear" w:color="auto" w:fill="D9D9D9" w:themeFill="background1" w:themeFillShade="D9"/>
          </w:tcPr>
          <w:p w14:paraId="42AA0505" w14:textId="6E9960E0" w:rsidR="004120A7" w:rsidRPr="002E1CA3" w:rsidRDefault="004120A7" w:rsidP="007E7AE7">
            <w:pPr>
              <w:jc w:val="both"/>
              <w:rPr>
                <w:b/>
                <w:sz w:val="20"/>
                <w:szCs w:val="20"/>
              </w:rPr>
            </w:pPr>
            <w:r>
              <w:rPr>
                <w:b/>
                <w:sz w:val="20"/>
                <w:szCs w:val="20"/>
              </w:rPr>
              <w:t>COMMITMENT</w:t>
            </w:r>
            <w:r w:rsidR="008B6A85">
              <w:rPr>
                <w:b/>
                <w:sz w:val="20"/>
                <w:szCs w:val="20"/>
              </w:rPr>
              <w:t xml:space="preserve"> STATEMENT</w:t>
            </w:r>
          </w:p>
        </w:tc>
      </w:tr>
      <w:tr w:rsidR="004120A7" w:rsidRPr="004120A7" w14:paraId="0179DC12" w14:textId="77777777" w:rsidTr="00F26AB8">
        <w:trPr>
          <w:trHeight w:val="962"/>
          <w:jc w:val="center"/>
        </w:trPr>
        <w:tc>
          <w:tcPr>
            <w:tcW w:w="10808" w:type="dxa"/>
            <w:gridSpan w:val="10"/>
            <w:tcBorders>
              <w:top w:val="nil"/>
              <w:bottom w:val="single" w:sz="4" w:space="0" w:color="auto"/>
            </w:tcBorders>
          </w:tcPr>
          <w:p w14:paraId="54B867E8" w14:textId="2DD08517" w:rsidR="008623A5" w:rsidRPr="008623A5" w:rsidRDefault="00321AE7" w:rsidP="008623A5">
            <w:pPr>
              <w:jc w:val="both"/>
              <w:rPr>
                <w:rFonts w:cstheme="minorHAnsi"/>
                <w:sz w:val="20"/>
                <w:szCs w:val="20"/>
              </w:rPr>
            </w:pPr>
            <w:r w:rsidRPr="00770E38">
              <w:rPr>
                <w:sz w:val="20"/>
                <w:szCs w:val="20"/>
              </w:rPr>
              <w:t>California Department of Corrections and Rehabilitation (CDCR) and the California Correctional Health Care Services (CCHCS)</w:t>
            </w:r>
            <w:r w:rsidR="008623A5" w:rsidRPr="008623A5">
              <w:rPr>
                <w:rFonts w:cstheme="minorHAnsi"/>
                <w:sz w:val="20"/>
                <w:szCs w:val="20"/>
              </w:rPr>
              <w:t xml:space="preserve"> are committed to transforming the correctional landscape to create safer, more professional, and more fulfilling environments for our employees, the incarcerated population, and those supervised in our communities. Through systemwide improvements grounded in proven and emerging practices, we aim to strengthen rehabilitation, enhance workplace satisfaction, and support successful reentry into the community through our institutions, parole, and community partnerships. Our shared mission is to promote safety, wellness, and human dignity while fostering positive change for all those who live and work within our institutions and communities.</w:t>
            </w:r>
          </w:p>
          <w:p w14:paraId="417702D4" w14:textId="77777777" w:rsidR="008623A5" w:rsidRPr="008623A5" w:rsidRDefault="008623A5" w:rsidP="008623A5">
            <w:pPr>
              <w:jc w:val="both"/>
              <w:rPr>
                <w:rFonts w:cstheme="minorHAnsi"/>
                <w:sz w:val="20"/>
                <w:szCs w:val="20"/>
              </w:rPr>
            </w:pPr>
          </w:p>
          <w:p w14:paraId="0D153408" w14:textId="7AB141B2" w:rsidR="007B2B75" w:rsidRPr="008623A5" w:rsidRDefault="008623A5" w:rsidP="007E7AE7">
            <w:pPr>
              <w:jc w:val="both"/>
              <w:rPr>
                <w:rFonts w:ascii="Calibri Light" w:hAnsi="Calibri Light" w:cs="Calibri Light"/>
                <w:sz w:val="20"/>
                <w:szCs w:val="20"/>
              </w:rPr>
            </w:pPr>
            <w:r w:rsidRPr="008623A5">
              <w:rPr>
                <w:rFonts w:cstheme="minorHAnsi"/>
                <w:sz w:val="20"/>
                <w:szCs w:val="20"/>
              </w:rPr>
              <w:t>CDCR and CCHCS are committed to building an inclusive respectful workplace. We are determined to attract and hire candidates from all communities and empower employees from a variety of backgrounds, perspectives, and personal experiences. We are proud to foster inclusion and drive collaborative efforts at all levels of the Department.</w:t>
            </w:r>
          </w:p>
        </w:tc>
      </w:tr>
      <w:tr w:rsidR="004120A7" w:rsidRPr="002E1CA3" w14:paraId="7AE66C03" w14:textId="77777777" w:rsidTr="00F26AB8">
        <w:trPr>
          <w:jc w:val="center"/>
        </w:trPr>
        <w:tc>
          <w:tcPr>
            <w:tcW w:w="10808" w:type="dxa"/>
            <w:gridSpan w:val="10"/>
            <w:tcBorders>
              <w:bottom w:val="single" w:sz="4" w:space="0" w:color="auto"/>
            </w:tcBorders>
            <w:shd w:val="clear" w:color="auto" w:fill="D9D9D9" w:themeFill="background1" w:themeFillShade="D9"/>
          </w:tcPr>
          <w:p w14:paraId="3AFC44C1" w14:textId="77777777" w:rsidR="004120A7" w:rsidRPr="002E1CA3" w:rsidRDefault="004120A7" w:rsidP="007E7AE7">
            <w:pPr>
              <w:jc w:val="both"/>
              <w:rPr>
                <w:b/>
                <w:sz w:val="20"/>
                <w:szCs w:val="20"/>
              </w:rPr>
            </w:pPr>
            <w:r>
              <w:rPr>
                <w:b/>
                <w:sz w:val="20"/>
                <w:szCs w:val="20"/>
              </w:rPr>
              <w:t>DIVISION OVERVIEW</w:t>
            </w:r>
          </w:p>
        </w:tc>
      </w:tr>
      <w:tr w:rsidR="004120A7" w:rsidRPr="002E1CA3" w14:paraId="1D26B89B" w14:textId="77777777" w:rsidTr="00F26AB8">
        <w:trPr>
          <w:jc w:val="center"/>
        </w:trPr>
        <w:tc>
          <w:tcPr>
            <w:tcW w:w="10808" w:type="dxa"/>
            <w:gridSpan w:val="10"/>
            <w:tcBorders>
              <w:top w:val="nil"/>
              <w:bottom w:val="single" w:sz="4" w:space="0" w:color="auto"/>
            </w:tcBorders>
          </w:tcPr>
          <w:p w14:paraId="0B88E0DA" w14:textId="35424162" w:rsidR="00E50F94" w:rsidRPr="002E1CA3" w:rsidRDefault="00AD5ED3" w:rsidP="00816B4B">
            <w:pPr>
              <w:jc w:val="both"/>
              <w:rPr>
                <w:sz w:val="20"/>
                <w:szCs w:val="20"/>
              </w:rPr>
            </w:pPr>
            <w:r w:rsidRPr="00C74608">
              <w:rPr>
                <w:rFonts w:cstheme="minorHAnsi"/>
                <w:sz w:val="20"/>
                <w:szCs w:val="20"/>
              </w:rPr>
              <w:t>You are a valued member of the Department’s team. You are expected to work cooperatively with team members and others to enable the Department to provide the highest level of service possible. Your creativity and ingenuity are encouraged. Your efforts to treat others fairly, honestly and with respect are critical to the success of the Department’s mission.</w:t>
            </w:r>
          </w:p>
        </w:tc>
      </w:tr>
      <w:tr w:rsidR="002E1CA3" w:rsidRPr="002E1CA3" w14:paraId="0E11BCC8" w14:textId="77777777" w:rsidTr="00F26AB8">
        <w:trPr>
          <w:jc w:val="center"/>
        </w:trPr>
        <w:tc>
          <w:tcPr>
            <w:tcW w:w="10808" w:type="dxa"/>
            <w:gridSpan w:val="10"/>
            <w:tcBorders>
              <w:bottom w:val="single" w:sz="4" w:space="0" w:color="auto"/>
            </w:tcBorders>
            <w:shd w:val="clear" w:color="auto" w:fill="D9D9D9" w:themeFill="background1" w:themeFillShade="D9"/>
          </w:tcPr>
          <w:p w14:paraId="7184C8A1" w14:textId="77777777" w:rsidR="00F20EC9" w:rsidRPr="002E1CA3" w:rsidRDefault="00F20EC9" w:rsidP="007E7AE7">
            <w:pPr>
              <w:jc w:val="both"/>
              <w:rPr>
                <w:b/>
                <w:sz w:val="20"/>
                <w:szCs w:val="20"/>
              </w:rPr>
            </w:pPr>
            <w:r w:rsidRPr="002E1CA3">
              <w:rPr>
                <w:b/>
                <w:sz w:val="20"/>
                <w:szCs w:val="20"/>
              </w:rPr>
              <w:t>GENERAL STATEMENT</w:t>
            </w:r>
          </w:p>
        </w:tc>
      </w:tr>
      <w:tr w:rsidR="00F800E5" w:rsidRPr="00F77711" w14:paraId="3649083B" w14:textId="77777777" w:rsidTr="00F26AB8">
        <w:trPr>
          <w:jc w:val="center"/>
        </w:trPr>
        <w:tc>
          <w:tcPr>
            <w:tcW w:w="10808" w:type="dxa"/>
            <w:gridSpan w:val="10"/>
            <w:tcBorders>
              <w:top w:val="single" w:sz="4" w:space="0" w:color="auto"/>
              <w:left w:val="single" w:sz="4" w:space="0" w:color="auto"/>
              <w:bottom w:val="nil"/>
              <w:right w:val="single" w:sz="4" w:space="0" w:color="auto"/>
            </w:tcBorders>
          </w:tcPr>
          <w:p w14:paraId="5983F489" w14:textId="25A6D600" w:rsidR="00F800E5" w:rsidRPr="00F77711" w:rsidRDefault="00F800E5" w:rsidP="00F800E5">
            <w:pPr>
              <w:jc w:val="both"/>
              <w:rPr>
                <w:b/>
                <w:color w:val="7F7F7F" w:themeColor="text1" w:themeTint="80"/>
                <w:sz w:val="16"/>
                <w:szCs w:val="16"/>
              </w:rPr>
            </w:pPr>
            <w:r w:rsidRPr="008569F6">
              <w:rPr>
                <w:rFonts w:cstheme="minorHAnsi"/>
                <w:sz w:val="20"/>
                <w:szCs w:val="20"/>
              </w:rPr>
              <w:t xml:space="preserve">Effective on the date indicated, in accordance with state and departmental policies and procedures, and under direction from the </w:t>
            </w:r>
            <w:r w:rsidRPr="00E418B8">
              <w:rPr>
                <w:rFonts w:cstheme="minorHAnsi"/>
                <w:sz w:val="20"/>
                <w:szCs w:val="20"/>
              </w:rPr>
              <w:t>Accounting Administrator I (Supervisor),</w:t>
            </w:r>
            <w:r w:rsidRPr="008569F6">
              <w:rPr>
                <w:rFonts w:cstheme="minorHAnsi"/>
                <w:sz w:val="20"/>
                <w:szCs w:val="20"/>
              </w:rPr>
              <w:t xml:space="preserve"> the </w:t>
            </w:r>
            <w:r w:rsidR="004563E3">
              <w:rPr>
                <w:rFonts w:cstheme="minorHAnsi"/>
                <w:sz w:val="20"/>
                <w:szCs w:val="20"/>
              </w:rPr>
              <w:t>Senior Accounting Officer, Specialist</w:t>
            </w:r>
            <w:r w:rsidRPr="008569F6">
              <w:rPr>
                <w:rFonts w:cstheme="minorHAnsi"/>
                <w:sz w:val="20"/>
                <w:szCs w:val="20"/>
              </w:rPr>
              <w:t xml:space="preserve"> is assigned the following duties and responsibilities described below. This position has no supervisory </w:t>
            </w:r>
            <w:r w:rsidR="00E418B8" w:rsidRPr="008569F6">
              <w:rPr>
                <w:rFonts w:cstheme="minorHAnsi"/>
                <w:sz w:val="20"/>
                <w:szCs w:val="20"/>
              </w:rPr>
              <w:t>responsibility but</w:t>
            </w:r>
            <w:r w:rsidRPr="008569F6">
              <w:rPr>
                <w:rFonts w:cstheme="minorHAnsi"/>
                <w:sz w:val="20"/>
                <w:szCs w:val="20"/>
              </w:rPr>
              <w:t xml:space="preserve"> may exercise lead responsibilities.</w:t>
            </w:r>
          </w:p>
        </w:tc>
      </w:tr>
      <w:tr w:rsidR="002E1CA3" w:rsidRPr="002E1CA3" w14:paraId="63CD6B82" w14:textId="77777777" w:rsidTr="00F26AB8">
        <w:trPr>
          <w:jc w:val="center"/>
        </w:trPr>
        <w:tc>
          <w:tcPr>
            <w:tcW w:w="1437" w:type="dxa"/>
            <w:tcBorders>
              <w:top w:val="single" w:sz="4" w:space="0" w:color="auto"/>
              <w:bottom w:val="single" w:sz="4" w:space="0" w:color="auto"/>
            </w:tcBorders>
            <w:shd w:val="clear" w:color="auto" w:fill="D9D9D9" w:themeFill="background1" w:themeFillShade="D9"/>
          </w:tcPr>
          <w:p w14:paraId="1117DC28" w14:textId="77777777" w:rsidR="00F20EC9" w:rsidRPr="002E1CA3" w:rsidRDefault="00F20EC9" w:rsidP="00652ECA">
            <w:pPr>
              <w:rPr>
                <w:b/>
                <w:sz w:val="16"/>
                <w:szCs w:val="16"/>
              </w:rPr>
            </w:pPr>
            <w:r w:rsidRPr="002E1CA3">
              <w:rPr>
                <w:b/>
                <w:sz w:val="16"/>
                <w:szCs w:val="16"/>
              </w:rPr>
              <w:t>% of time performing duties</w:t>
            </w:r>
          </w:p>
        </w:tc>
        <w:tc>
          <w:tcPr>
            <w:tcW w:w="9371" w:type="dxa"/>
            <w:gridSpan w:val="9"/>
            <w:tcBorders>
              <w:top w:val="single" w:sz="4" w:space="0" w:color="auto"/>
              <w:bottom w:val="single" w:sz="4" w:space="0" w:color="auto"/>
            </w:tcBorders>
            <w:shd w:val="clear" w:color="auto" w:fill="D9D9D9" w:themeFill="background1" w:themeFillShade="D9"/>
          </w:tcPr>
          <w:p w14:paraId="5B6599E2" w14:textId="77777777" w:rsidR="00F20EC9" w:rsidRPr="002E1CA3" w:rsidRDefault="00F20EC9" w:rsidP="007E7AE7">
            <w:pPr>
              <w:jc w:val="both"/>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D6066F" w14:paraId="72E656C1" w14:textId="77777777" w:rsidTr="00F26AB8">
        <w:trPr>
          <w:jc w:val="center"/>
        </w:trPr>
        <w:tc>
          <w:tcPr>
            <w:tcW w:w="1437" w:type="dxa"/>
            <w:tcBorders>
              <w:top w:val="single" w:sz="4" w:space="0" w:color="auto"/>
              <w:left w:val="single" w:sz="4" w:space="0" w:color="auto"/>
              <w:bottom w:val="nil"/>
              <w:right w:val="single" w:sz="4" w:space="0" w:color="auto"/>
            </w:tcBorders>
          </w:tcPr>
          <w:p w14:paraId="6B8BE470" w14:textId="5B52FE8A" w:rsidR="00401674" w:rsidRPr="00D6066F" w:rsidRDefault="00401674" w:rsidP="00E418B8">
            <w:pPr>
              <w:rPr>
                <w:rFonts w:cstheme="minorHAnsi"/>
                <w:sz w:val="20"/>
                <w:szCs w:val="20"/>
              </w:rPr>
            </w:pPr>
          </w:p>
        </w:tc>
        <w:tc>
          <w:tcPr>
            <w:tcW w:w="9371" w:type="dxa"/>
            <w:gridSpan w:val="9"/>
            <w:tcBorders>
              <w:top w:val="single" w:sz="4" w:space="0" w:color="auto"/>
              <w:left w:val="single" w:sz="4" w:space="0" w:color="auto"/>
              <w:bottom w:val="nil"/>
              <w:right w:val="single" w:sz="4" w:space="0" w:color="auto"/>
            </w:tcBorders>
          </w:tcPr>
          <w:p w14:paraId="361F8962" w14:textId="07A3A725" w:rsidR="008E2B33" w:rsidRPr="007276E9" w:rsidRDefault="008E2B33" w:rsidP="008E2B33">
            <w:pPr>
              <w:rPr>
                <w:b/>
                <w:i/>
                <w:sz w:val="20"/>
                <w:szCs w:val="20"/>
              </w:rPr>
            </w:pPr>
          </w:p>
        </w:tc>
      </w:tr>
      <w:tr w:rsidR="00554579" w:rsidRPr="00D6066F" w14:paraId="2AFB17D2" w14:textId="77777777" w:rsidTr="00F26AB8">
        <w:trPr>
          <w:trHeight w:val="423"/>
          <w:jc w:val="center"/>
        </w:trPr>
        <w:tc>
          <w:tcPr>
            <w:tcW w:w="1437" w:type="dxa"/>
            <w:tcBorders>
              <w:top w:val="nil"/>
              <w:left w:val="single" w:sz="4" w:space="0" w:color="auto"/>
              <w:bottom w:val="nil"/>
              <w:right w:val="single" w:sz="4" w:space="0" w:color="auto"/>
            </w:tcBorders>
          </w:tcPr>
          <w:p w14:paraId="7CD56833" w14:textId="6A4F995C" w:rsidR="00554579" w:rsidRPr="007276E9" w:rsidRDefault="004563E3" w:rsidP="00D6066F">
            <w:pPr>
              <w:jc w:val="center"/>
              <w:rPr>
                <w:rFonts w:cstheme="minorHAnsi"/>
                <w:sz w:val="20"/>
                <w:szCs w:val="20"/>
              </w:rPr>
            </w:pPr>
            <w:r>
              <w:rPr>
                <w:rFonts w:cstheme="minorHAnsi"/>
                <w:sz w:val="20"/>
                <w:szCs w:val="20"/>
              </w:rPr>
              <w:lastRenderedPageBreak/>
              <w:t>30</w:t>
            </w:r>
            <w:r w:rsidR="00554579" w:rsidRPr="007276E9">
              <w:rPr>
                <w:rFonts w:cstheme="minorHAnsi"/>
                <w:sz w:val="20"/>
                <w:szCs w:val="20"/>
              </w:rPr>
              <w:t xml:space="preserve"> %</w:t>
            </w:r>
          </w:p>
        </w:tc>
        <w:tc>
          <w:tcPr>
            <w:tcW w:w="9371" w:type="dxa"/>
            <w:gridSpan w:val="9"/>
            <w:tcBorders>
              <w:top w:val="nil"/>
              <w:left w:val="single" w:sz="4" w:space="0" w:color="auto"/>
              <w:bottom w:val="nil"/>
              <w:right w:val="single" w:sz="4" w:space="0" w:color="auto"/>
            </w:tcBorders>
          </w:tcPr>
          <w:p w14:paraId="220B6A56" w14:textId="5AB1B849" w:rsidR="00554579" w:rsidRPr="004563E3" w:rsidRDefault="004563E3" w:rsidP="0076387A">
            <w:pPr>
              <w:rPr>
                <w:bCs/>
                <w:iCs/>
                <w:sz w:val="20"/>
                <w:szCs w:val="20"/>
              </w:rPr>
            </w:pPr>
            <w:r>
              <w:rPr>
                <w:bCs/>
                <w:iCs/>
                <w:sz w:val="20"/>
                <w:szCs w:val="20"/>
              </w:rPr>
              <w:t xml:space="preserve">Independently reviews and analyzes the more difficult transactions related to payable items including those for high-volume and complex vendors. Research or troubleshoots </w:t>
            </w:r>
            <w:proofErr w:type="gramStart"/>
            <w:r>
              <w:rPr>
                <w:bCs/>
                <w:iCs/>
                <w:sz w:val="20"/>
                <w:szCs w:val="20"/>
              </w:rPr>
              <w:t>accounts</w:t>
            </w:r>
            <w:proofErr w:type="gramEnd"/>
            <w:r>
              <w:rPr>
                <w:bCs/>
                <w:iCs/>
                <w:sz w:val="20"/>
                <w:szCs w:val="20"/>
              </w:rPr>
              <w:t xml:space="preserve"> payable items including reviewing purchase documents against invoices, goods received reports, disputes, and penalties.  Performs regular account reconciliations by verifying source documents, and reviewing the related vendor payables reports from SAP.   Identifies, analyzes, resolves and relays sensitive and difficult accountings issues and transactions issues to ASB staff and management.  Works with Programs, Vendors and ASB staff regarding the resolution of institution and unit issues.  </w:t>
            </w:r>
            <w:r w:rsidRPr="00984D2D">
              <w:rPr>
                <w:bCs/>
                <w:iCs/>
                <w:sz w:val="20"/>
                <w:szCs w:val="20"/>
              </w:rPr>
              <w:t xml:space="preserve"> </w:t>
            </w:r>
          </w:p>
        </w:tc>
      </w:tr>
      <w:tr w:rsidR="00DA1762" w:rsidRPr="00D6066F" w14:paraId="2AF579CC" w14:textId="77777777" w:rsidTr="00AA56B2">
        <w:trPr>
          <w:trHeight w:val="1724"/>
          <w:jc w:val="center"/>
        </w:trPr>
        <w:tc>
          <w:tcPr>
            <w:tcW w:w="1437" w:type="dxa"/>
            <w:tcBorders>
              <w:top w:val="nil"/>
              <w:bottom w:val="nil"/>
              <w:right w:val="single" w:sz="4" w:space="0" w:color="auto"/>
            </w:tcBorders>
          </w:tcPr>
          <w:p w14:paraId="2E982E51" w14:textId="1B2C47F9" w:rsidR="00DA1762" w:rsidRDefault="00F95FE4" w:rsidP="00D6066F">
            <w:pPr>
              <w:jc w:val="center"/>
              <w:rPr>
                <w:sz w:val="20"/>
                <w:szCs w:val="20"/>
              </w:rPr>
            </w:pPr>
            <w:r>
              <w:rPr>
                <w:sz w:val="20"/>
                <w:szCs w:val="20"/>
              </w:rPr>
              <w:t>25</w:t>
            </w:r>
            <w:r w:rsidR="00042DF8">
              <w:rPr>
                <w:sz w:val="20"/>
                <w:szCs w:val="20"/>
              </w:rPr>
              <w:t xml:space="preserve">% </w:t>
            </w:r>
          </w:p>
          <w:p w14:paraId="69D7AD20" w14:textId="77777777" w:rsidR="004563E3" w:rsidRDefault="004563E3" w:rsidP="00D6066F">
            <w:pPr>
              <w:jc w:val="center"/>
              <w:rPr>
                <w:rFonts w:cstheme="minorHAnsi"/>
                <w:sz w:val="20"/>
                <w:szCs w:val="20"/>
              </w:rPr>
            </w:pPr>
          </w:p>
          <w:p w14:paraId="77ADC60C" w14:textId="77777777" w:rsidR="004563E3" w:rsidRDefault="004563E3" w:rsidP="00D6066F">
            <w:pPr>
              <w:jc w:val="center"/>
              <w:rPr>
                <w:rFonts w:cstheme="minorHAnsi"/>
                <w:sz w:val="20"/>
                <w:szCs w:val="20"/>
              </w:rPr>
            </w:pPr>
          </w:p>
          <w:p w14:paraId="1A5B46D3" w14:textId="77777777" w:rsidR="004563E3" w:rsidRDefault="004563E3" w:rsidP="00D6066F">
            <w:pPr>
              <w:jc w:val="center"/>
              <w:rPr>
                <w:rFonts w:cstheme="minorHAnsi"/>
                <w:sz w:val="20"/>
                <w:szCs w:val="20"/>
              </w:rPr>
            </w:pPr>
          </w:p>
          <w:p w14:paraId="48EEF4CE" w14:textId="77777777" w:rsidR="000505ED" w:rsidRDefault="000505ED" w:rsidP="00D6066F">
            <w:pPr>
              <w:jc w:val="center"/>
              <w:rPr>
                <w:rFonts w:cstheme="minorHAnsi"/>
                <w:sz w:val="20"/>
                <w:szCs w:val="20"/>
              </w:rPr>
            </w:pPr>
          </w:p>
          <w:p w14:paraId="33E5EA52" w14:textId="77777777" w:rsidR="000505ED" w:rsidRDefault="000505ED" w:rsidP="00D6066F">
            <w:pPr>
              <w:jc w:val="center"/>
              <w:rPr>
                <w:rFonts w:cstheme="minorHAnsi"/>
                <w:sz w:val="20"/>
                <w:szCs w:val="20"/>
              </w:rPr>
            </w:pPr>
          </w:p>
          <w:p w14:paraId="3D613578" w14:textId="77777777" w:rsidR="000505ED" w:rsidRDefault="000505ED" w:rsidP="00D6066F">
            <w:pPr>
              <w:jc w:val="center"/>
              <w:rPr>
                <w:rFonts w:cstheme="minorHAnsi"/>
                <w:sz w:val="20"/>
                <w:szCs w:val="20"/>
              </w:rPr>
            </w:pPr>
          </w:p>
          <w:p w14:paraId="0817E0DF" w14:textId="77777777" w:rsidR="000505ED" w:rsidRDefault="000505ED" w:rsidP="00D6066F">
            <w:pPr>
              <w:jc w:val="center"/>
              <w:rPr>
                <w:rFonts w:cstheme="minorHAnsi"/>
                <w:sz w:val="20"/>
                <w:szCs w:val="20"/>
              </w:rPr>
            </w:pPr>
          </w:p>
          <w:p w14:paraId="706A5C73" w14:textId="77777777" w:rsidR="000505ED" w:rsidRDefault="000505ED" w:rsidP="00D6066F">
            <w:pPr>
              <w:jc w:val="center"/>
              <w:rPr>
                <w:rFonts w:cstheme="minorHAnsi"/>
                <w:sz w:val="20"/>
                <w:szCs w:val="20"/>
              </w:rPr>
            </w:pPr>
          </w:p>
          <w:p w14:paraId="5AB52F86" w14:textId="77777777" w:rsidR="000505ED" w:rsidRDefault="000505ED" w:rsidP="00D6066F">
            <w:pPr>
              <w:jc w:val="center"/>
              <w:rPr>
                <w:rFonts w:cstheme="minorHAnsi"/>
                <w:sz w:val="20"/>
                <w:szCs w:val="20"/>
              </w:rPr>
            </w:pPr>
          </w:p>
          <w:p w14:paraId="27C87C2C" w14:textId="73ED1752" w:rsidR="004563E3" w:rsidRDefault="004563E3" w:rsidP="00D6066F">
            <w:pPr>
              <w:jc w:val="center"/>
              <w:rPr>
                <w:rFonts w:cstheme="minorHAnsi"/>
                <w:sz w:val="20"/>
                <w:szCs w:val="20"/>
              </w:rPr>
            </w:pPr>
            <w:r>
              <w:rPr>
                <w:rFonts w:cstheme="minorHAnsi"/>
                <w:sz w:val="20"/>
                <w:szCs w:val="20"/>
              </w:rPr>
              <w:t>15%</w:t>
            </w:r>
          </w:p>
          <w:p w14:paraId="17426580" w14:textId="77777777" w:rsidR="004563E3" w:rsidRDefault="004563E3" w:rsidP="00D6066F">
            <w:pPr>
              <w:jc w:val="center"/>
              <w:rPr>
                <w:rFonts w:cstheme="minorHAnsi"/>
                <w:sz w:val="20"/>
                <w:szCs w:val="20"/>
              </w:rPr>
            </w:pPr>
          </w:p>
          <w:p w14:paraId="558B9F39" w14:textId="77777777" w:rsidR="004563E3" w:rsidRDefault="004563E3" w:rsidP="00D6066F">
            <w:pPr>
              <w:jc w:val="center"/>
              <w:rPr>
                <w:rFonts w:cstheme="minorHAnsi"/>
                <w:sz w:val="20"/>
                <w:szCs w:val="20"/>
              </w:rPr>
            </w:pPr>
          </w:p>
          <w:p w14:paraId="7EA818B1" w14:textId="77777777" w:rsidR="004563E3" w:rsidRDefault="004563E3" w:rsidP="00D6066F">
            <w:pPr>
              <w:jc w:val="center"/>
              <w:rPr>
                <w:rFonts w:cstheme="minorHAnsi"/>
                <w:sz w:val="20"/>
                <w:szCs w:val="20"/>
              </w:rPr>
            </w:pPr>
          </w:p>
          <w:p w14:paraId="49D08F82" w14:textId="77777777" w:rsidR="004563E3" w:rsidRDefault="004563E3" w:rsidP="00D6066F">
            <w:pPr>
              <w:jc w:val="center"/>
              <w:rPr>
                <w:rFonts w:cstheme="minorHAnsi"/>
                <w:sz w:val="20"/>
                <w:szCs w:val="20"/>
              </w:rPr>
            </w:pPr>
          </w:p>
          <w:p w14:paraId="6FB24987" w14:textId="77777777" w:rsidR="009A4362" w:rsidRDefault="009A4362" w:rsidP="00D6066F">
            <w:pPr>
              <w:jc w:val="center"/>
              <w:rPr>
                <w:rFonts w:cstheme="minorHAnsi"/>
                <w:sz w:val="20"/>
                <w:szCs w:val="20"/>
              </w:rPr>
            </w:pPr>
          </w:p>
          <w:p w14:paraId="590C2000" w14:textId="251D4A26" w:rsidR="004563E3" w:rsidRDefault="004563E3" w:rsidP="00D6066F">
            <w:pPr>
              <w:jc w:val="center"/>
              <w:rPr>
                <w:rFonts w:cstheme="minorHAnsi"/>
                <w:sz w:val="20"/>
                <w:szCs w:val="20"/>
              </w:rPr>
            </w:pPr>
            <w:r>
              <w:rPr>
                <w:rFonts w:cstheme="minorHAnsi"/>
                <w:sz w:val="20"/>
                <w:szCs w:val="20"/>
              </w:rPr>
              <w:t>1</w:t>
            </w:r>
            <w:r w:rsidR="00E418B8">
              <w:rPr>
                <w:rFonts w:cstheme="minorHAnsi"/>
                <w:sz w:val="20"/>
                <w:szCs w:val="20"/>
              </w:rPr>
              <w:t>5</w:t>
            </w:r>
            <w:r>
              <w:rPr>
                <w:rFonts w:cstheme="minorHAnsi"/>
                <w:sz w:val="20"/>
                <w:szCs w:val="20"/>
              </w:rPr>
              <w:t>%</w:t>
            </w:r>
          </w:p>
          <w:p w14:paraId="193DD039" w14:textId="77777777" w:rsidR="004563E3" w:rsidRDefault="004563E3" w:rsidP="00D6066F">
            <w:pPr>
              <w:jc w:val="center"/>
              <w:rPr>
                <w:rFonts w:cstheme="minorHAnsi"/>
                <w:sz w:val="20"/>
                <w:szCs w:val="20"/>
              </w:rPr>
            </w:pPr>
          </w:p>
          <w:p w14:paraId="3EE95DCC" w14:textId="77777777" w:rsidR="004563E3" w:rsidRDefault="004563E3" w:rsidP="00D6066F">
            <w:pPr>
              <w:jc w:val="center"/>
              <w:rPr>
                <w:rFonts w:cstheme="minorHAnsi"/>
                <w:sz w:val="20"/>
                <w:szCs w:val="20"/>
              </w:rPr>
            </w:pPr>
          </w:p>
          <w:p w14:paraId="3959F870" w14:textId="77777777" w:rsidR="00E418B8" w:rsidRDefault="00E418B8" w:rsidP="00D6066F">
            <w:pPr>
              <w:jc w:val="center"/>
              <w:rPr>
                <w:rFonts w:cstheme="minorHAnsi"/>
                <w:sz w:val="20"/>
                <w:szCs w:val="20"/>
              </w:rPr>
            </w:pPr>
          </w:p>
          <w:p w14:paraId="57815525" w14:textId="77777777" w:rsidR="00E418B8" w:rsidRDefault="00E418B8" w:rsidP="00D6066F">
            <w:pPr>
              <w:jc w:val="center"/>
              <w:rPr>
                <w:rFonts w:cstheme="minorHAnsi"/>
                <w:sz w:val="20"/>
                <w:szCs w:val="20"/>
              </w:rPr>
            </w:pPr>
          </w:p>
          <w:p w14:paraId="474A873E" w14:textId="77777777" w:rsidR="00E418B8" w:rsidRDefault="00E418B8" w:rsidP="00D6066F">
            <w:pPr>
              <w:jc w:val="center"/>
              <w:rPr>
                <w:rFonts w:cstheme="minorHAnsi"/>
                <w:sz w:val="20"/>
                <w:szCs w:val="20"/>
              </w:rPr>
            </w:pPr>
          </w:p>
          <w:p w14:paraId="72C11F0F" w14:textId="77777777" w:rsidR="00E418B8" w:rsidRDefault="00E418B8" w:rsidP="00D6066F">
            <w:pPr>
              <w:jc w:val="center"/>
              <w:rPr>
                <w:rFonts w:cstheme="minorHAnsi"/>
                <w:sz w:val="20"/>
                <w:szCs w:val="20"/>
              </w:rPr>
            </w:pPr>
          </w:p>
          <w:p w14:paraId="00631FDE" w14:textId="77777777" w:rsidR="00E418B8" w:rsidRDefault="00E418B8" w:rsidP="00D6066F">
            <w:pPr>
              <w:jc w:val="center"/>
              <w:rPr>
                <w:rFonts w:cstheme="minorHAnsi"/>
                <w:sz w:val="20"/>
                <w:szCs w:val="20"/>
              </w:rPr>
            </w:pPr>
          </w:p>
          <w:p w14:paraId="6C44F589" w14:textId="77777777" w:rsidR="00E418B8" w:rsidRDefault="00E418B8" w:rsidP="00D6066F">
            <w:pPr>
              <w:jc w:val="center"/>
              <w:rPr>
                <w:rFonts w:cstheme="minorHAnsi"/>
                <w:sz w:val="20"/>
                <w:szCs w:val="20"/>
              </w:rPr>
            </w:pPr>
          </w:p>
          <w:p w14:paraId="4B0E3BAC" w14:textId="75CA484F" w:rsidR="004563E3" w:rsidRPr="00D6066F" w:rsidRDefault="004563E3" w:rsidP="00D6066F">
            <w:pPr>
              <w:jc w:val="center"/>
              <w:rPr>
                <w:rFonts w:cstheme="minorHAnsi"/>
                <w:sz w:val="20"/>
                <w:szCs w:val="20"/>
              </w:rPr>
            </w:pPr>
            <w:r>
              <w:rPr>
                <w:rFonts w:cstheme="minorHAnsi"/>
                <w:sz w:val="20"/>
                <w:szCs w:val="20"/>
              </w:rPr>
              <w:t>10%</w:t>
            </w:r>
          </w:p>
        </w:tc>
        <w:tc>
          <w:tcPr>
            <w:tcW w:w="9371" w:type="dxa"/>
            <w:gridSpan w:val="9"/>
            <w:tcBorders>
              <w:top w:val="nil"/>
              <w:left w:val="single" w:sz="4" w:space="0" w:color="auto"/>
              <w:bottom w:val="nil"/>
            </w:tcBorders>
          </w:tcPr>
          <w:p w14:paraId="51AF9249" w14:textId="3B1AFB10" w:rsidR="00DA1762" w:rsidRDefault="004563E3" w:rsidP="00D6066F">
            <w:pPr>
              <w:jc w:val="both"/>
              <w:rPr>
                <w:rFonts w:cstheme="minorHAnsi"/>
                <w:sz w:val="20"/>
                <w:szCs w:val="24"/>
              </w:rPr>
            </w:pPr>
            <w:r w:rsidRPr="0051006E">
              <w:rPr>
                <w:rFonts w:cstheme="minorHAnsi"/>
                <w:sz w:val="20"/>
                <w:szCs w:val="24"/>
              </w:rPr>
              <w:t xml:space="preserve">As a </w:t>
            </w:r>
            <w:r w:rsidR="000505ED">
              <w:rPr>
                <w:rFonts w:cstheme="minorHAnsi"/>
                <w:sz w:val="20"/>
                <w:szCs w:val="24"/>
              </w:rPr>
              <w:t>L</w:t>
            </w:r>
            <w:r w:rsidRPr="0051006E">
              <w:rPr>
                <w:rFonts w:cstheme="minorHAnsi"/>
                <w:sz w:val="20"/>
                <w:szCs w:val="24"/>
              </w:rPr>
              <w:t>ead, the senior specialist is responsible for</w:t>
            </w:r>
            <w:r w:rsidR="000505ED">
              <w:rPr>
                <w:rFonts w:cstheme="minorHAnsi"/>
                <w:sz w:val="20"/>
                <w:szCs w:val="24"/>
              </w:rPr>
              <w:t xml:space="preserve"> providing training and technical support to lower</w:t>
            </w:r>
            <w:r w:rsidR="009A4362">
              <w:rPr>
                <w:rFonts w:cstheme="minorHAnsi"/>
                <w:sz w:val="20"/>
                <w:szCs w:val="24"/>
              </w:rPr>
              <w:t>-</w:t>
            </w:r>
            <w:r w:rsidR="000505ED">
              <w:rPr>
                <w:rFonts w:cstheme="minorHAnsi"/>
                <w:sz w:val="20"/>
                <w:szCs w:val="24"/>
              </w:rPr>
              <w:t>level ASB staff as needed</w:t>
            </w:r>
            <w:r w:rsidR="009A4362">
              <w:rPr>
                <w:rFonts w:cstheme="minorHAnsi"/>
                <w:sz w:val="20"/>
                <w:szCs w:val="24"/>
              </w:rPr>
              <w:t>, as well as reviewing workload</w:t>
            </w:r>
            <w:r w:rsidR="000505ED">
              <w:rPr>
                <w:rFonts w:cstheme="minorHAnsi"/>
                <w:sz w:val="20"/>
                <w:szCs w:val="24"/>
              </w:rPr>
              <w:t xml:space="preserve">.  Guides and assists ASB staff in the implementations of new functions or procedures.  May provide input of a factual nature regarding employee job performance, (technical performance), and provide input to performance appraisals and individual development plans.  May participate in management and program meetings to provide accounting services to stakeholders. Review and verify claim schedules before forwarding them to the State Controller’s office, (SCO), for payment.  Answers questions and requests from SCO claims auditors regarding schedules.  Works closely with the Unit Supervisor to ensure that the work group recognizes and maintains the appropriate levels of quality, effectiveness, internal controls, and separation of duties within the unit for the safety and integrity of department assets. </w:t>
            </w:r>
          </w:p>
          <w:p w14:paraId="3B374634" w14:textId="77777777" w:rsidR="004563E3" w:rsidRPr="004563E3" w:rsidRDefault="004563E3" w:rsidP="00D6066F">
            <w:pPr>
              <w:jc w:val="both"/>
              <w:rPr>
                <w:rFonts w:cstheme="minorHAnsi"/>
                <w:sz w:val="20"/>
                <w:szCs w:val="24"/>
              </w:rPr>
            </w:pPr>
          </w:p>
          <w:p w14:paraId="578BE5D1" w14:textId="77777777" w:rsidR="004563E3" w:rsidRDefault="004563E3" w:rsidP="004563E3">
            <w:pPr>
              <w:jc w:val="both"/>
              <w:rPr>
                <w:rFonts w:cstheme="minorHAnsi"/>
                <w:sz w:val="20"/>
              </w:rPr>
            </w:pPr>
            <w:r w:rsidRPr="0051006E">
              <w:rPr>
                <w:rFonts w:cstheme="minorHAnsi"/>
                <w:sz w:val="20"/>
              </w:rPr>
              <w:t>Acts as a liaison between accounting, programs and vendors. Functions as a liaison with accounting administrators of the department, departmental management, budget section, and State control agencies. Advises contacts of accounting related policies and procedures. Works to resolve problems of a fiscally sensitive nature. Responds to financial questions from managers and supervisors. Prepares recommendations related to plans, budget requests, procedures and policies within the work unit.</w:t>
            </w:r>
          </w:p>
          <w:p w14:paraId="5AD34B87" w14:textId="77777777" w:rsidR="00F95FE4" w:rsidRDefault="00F95FE4" w:rsidP="004563E3">
            <w:pPr>
              <w:jc w:val="both"/>
              <w:rPr>
                <w:rFonts w:cstheme="minorHAnsi"/>
                <w:sz w:val="20"/>
              </w:rPr>
            </w:pPr>
          </w:p>
          <w:p w14:paraId="11B91B38" w14:textId="2AB0508C" w:rsidR="004563E3" w:rsidRDefault="00F95FE4" w:rsidP="004563E3">
            <w:pPr>
              <w:jc w:val="both"/>
              <w:rPr>
                <w:rFonts w:cstheme="minorHAnsi"/>
                <w:sz w:val="20"/>
              </w:rPr>
            </w:pPr>
            <w:r>
              <w:rPr>
                <w:rFonts w:cstheme="minorHAnsi"/>
                <w:sz w:val="20"/>
              </w:rPr>
              <w:t xml:space="preserve">Generates and analyzes SAP reports periodically for invalid </w:t>
            </w:r>
            <w:r w:rsidR="00E418B8">
              <w:rPr>
                <w:rFonts w:cstheme="minorHAnsi"/>
                <w:sz w:val="20"/>
              </w:rPr>
              <w:t>entries</w:t>
            </w:r>
            <w:r>
              <w:rPr>
                <w:rFonts w:cstheme="minorHAnsi"/>
                <w:sz w:val="20"/>
              </w:rPr>
              <w:t xml:space="preserve">, </w:t>
            </w:r>
            <w:r w:rsidR="00E418B8">
              <w:rPr>
                <w:rFonts w:cstheme="minorHAnsi"/>
                <w:sz w:val="20"/>
              </w:rPr>
              <w:t>invalid</w:t>
            </w:r>
            <w:r>
              <w:rPr>
                <w:rFonts w:cstheme="minorHAnsi"/>
                <w:sz w:val="20"/>
              </w:rPr>
              <w:t xml:space="preserve"> accounts and abnormal balances.  Monitors various SAP reports, including the budget related reports, (BI), GR/IR, VIM Analytics, claim table reports, and take appropriate corrective actions.  May review and move expenditures to appropriate fund/functional areas.  Performs more complex reviews of SAP including appropriations, cash accounts and fixed assets/property.  Prepares follow up correspondence as needed.  Works with other accounting units to determine, analyze and apply refunds from vendors or when necessary, to bill vendors via appropriate ASB office.  </w:t>
            </w:r>
            <w:r w:rsidR="00E418B8">
              <w:rPr>
                <w:rFonts w:cstheme="minorHAnsi"/>
                <w:sz w:val="20"/>
              </w:rPr>
              <w:t xml:space="preserve">Performs special projects, completing projections, collecting and organizing information requested by stakeholders and HQ as needed. </w:t>
            </w:r>
          </w:p>
          <w:p w14:paraId="5E3DD3BA" w14:textId="77056CD4" w:rsidR="004563E3" w:rsidRDefault="004563E3" w:rsidP="004563E3">
            <w:pPr>
              <w:jc w:val="both"/>
              <w:rPr>
                <w:rFonts w:cstheme="minorHAnsi"/>
                <w:sz w:val="20"/>
              </w:rPr>
            </w:pPr>
            <w:r w:rsidRPr="0051006E">
              <w:rPr>
                <w:rFonts w:cstheme="minorHAnsi"/>
                <w:sz w:val="20"/>
              </w:rPr>
              <w:t xml:space="preserve">. </w:t>
            </w:r>
          </w:p>
          <w:p w14:paraId="7C141EFB" w14:textId="3E15C18B" w:rsidR="004563E3" w:rsidRPr="00E93215" w:rsidRDefault="00E418B8" w:rsidP="00D6066F">
            <w:pPr>
              <w:jc w:val="both"/>
              <w:rPr>
                <w:rFonts w:cstheme="minorHAnsi"/>
                <w:sz w:val="20"/>
                <w:szCs w:val="20"/>
              </w:rPr>
            </w:pPr>
            <w:r>
              <w:rPr>
                <w:rFonts w:cstheme="minorHAnsi"/>
                <w:sz w:val="20"/>
                <w:szCs w:val="20"/>
              </w:rPr>
              <w:t xml:space="preserve">Develop training procedures </w:t>
            </w:r>
            <w:r w:rsidR="009A4362">
              <w:rPr>
                <w:rFonts w:cstheme="minorHAnsi"/>
                <w:sz w:val="20"/>
                <w:szCs w:val="20"/>
              </w:rPr>
              <w:t xml:space="preserve">to ensure </w:t>
            </w:r>
            <w:r>
              <w:rPr>
                <w:rFonts w:cstheme="minorHAnsi"/>
                <w:sz w:val="20"/>
                <w:szCs w:val="20"/>
              </w:rPr>
              <w:t>the efficient, accurate</w:t>
            </w:r>
            <w:r w:rsidR="009A4362">
              <w:rPr>
                <w:rFonts w:cstheme="minorHAnsi"/>
                <w:sz w:val="20"/>
                <w:szCs w:val="20"/>
              </w:rPr>
              <w:t>,</w:t>
            </w:r>
            <w:r>
              <w:rPr>
                <w:rFonts w:cstheme="minorHAnsi"/>
                <w:sz w:val="20"/>
                <w:szCs w:val="20"/>
              </w:rPr>
              <w:t xml:space="preserve"> and consistent identification, payment and tracking of all payable items.  Implements, devises and works to enhance internal control procedures related to accounts payable.  Timely and regularly processes payments and interprets payment information for assigned accounts, as appropriate, such as when providing back-up coverage.  Review agreements, PO’s and/or contracts related to services/purchases.  Maintain and update payment logs.  </w:t>
            </w:r>
          </w:p>
        </w:tc>
      </w:tr>
      <w:tr w:rsidR="00DA1762" w:rsidRPr="00D6066F" w14:paraId="327B79D7" w14:textId="77777777" w:rsidTr="00AA56B2">
        <w:trPr>
          <w:trHeight w:val="644"/>
          <w:jc w:val="center"/>
        </w:trPr>
        <w:tc>
          <w:tcPr>
            <w:tcW w:w="1437" w:type="dxa"/>
            <w:tcBorders>
              <w:top w:val="nil"/>
              <w:bottom w:val="single" w:sz="4" w:space="0" w:color="auto"/>
              <w:right w:val="single" w:sz="4" w:space="0" w:color="auto"/>
            </w:tcBorders>
          </w:tcPr>
          <w:p w14:paraId="4AE1C354" w14:textId="60AA76E2" w:rsidR="00DA1762" w:rsidRPr="00D6066F" w:rsidRDefault="0076387A" w:rsidP="00D6066F">
            <w:pPr>
              <w:jc w:val="center"/>
              <w:rPr>
                <w:rFonts w:cstheme="minorHAnsi"/>
                <w:sz w:val="20"/>
                <w:szCs w:val="20"/>
              </w:rPr>
            </w:pPr>
            <w:r>
              <w:rPr>
                <w:sz w:val="20"/>
                <w:szCs w:val="20"/>
              </w:rPr>
              <w:t xml:space="preserve"> </w:t>
            </w:r>
            <w:r w:rsidRPr="007276E9">
              <w:rPr>
                <w:bCs/>
                <w:i/>
                <w:sz w:val="20"/>
                <w:szCs w:val="20"/>
              </w:rPr>
              <w:t xml:space="preserve"> 5%</w:t>
            </w:r>
          </w:p>
        </w:tc>
        <w:tc>
          <w:tcPr>
            <w:tcW w:w="9371" w:type="dxa"/>
            <w:gridSpan w:val="9"/>
            <w:tcBorders>
              <w:top w:val="nil"/>
              <w:left w:val="single" w:sz="4" w:space="0" w:color="auto"/>
              <w:bottom w:val="single" w:sz="4" w:space="0" w:color="auto"/>
            </w:tcBorders>
          </w:tcPr>
          <w:p w14:paraId="78A35E99" w14:textId="002D3FA1" w:rsidR="00DA1762" w:rsidRDefault="00E418B8" w:rsidP="00AA56B2">
            <w:pPr>
              <w:rPr>
                <w:rFonts w:cs="Arial"/>
                <w:sz w:val="20"/>
              </w:rPr>
            </w:pPr>
            <w:r>
              <w:rPr>
                <w:rFonts w:cs="Arial"/>
                <w:sz w:val="20"/>
              </w:rPr>
              <w:t>P</w:t>
            </w:r>
            <w:r w:rsidR="0076387A" w:rsidRPr="005F303E">
              <w:rPr>
                <w:rFonts w:cs="Arial"/>
                <w:sz w:val="20"/>
              </w:rPr>
              <w:t xml:space="preserve">erform administrative duties including, but not limited </w:t>
            </w:r>
            <w:proofErr w:type="gramStart"/>
            <w:r w:rsidR="00907A88" w:rsidRPr="005F303E">
              <w:rPr>
                <w:rFonts w:cs="Arial"/>
                <w:sz w:val="20"/>
              </w:rPr>
              <w:t>to</w:t>
            </w:r>
            <w:r w:rsidR="00907A88">
              <w:rPr>
                <w:rFonts w:cs="Arial"/>
                <w:sz w:val="20"/>
              </w:rPr>
              <w:t>:</w:t>
            </w:r>
            <w:proofErr w:type="gramEnd"/>
            <w:r w:rsidR="00907A88" w:rsidRPr="005F303E">
              <w:rPr>
                <w:rFonts w:cs="Arial"/>
                <w:sz w:val="20"/>
              </w:rPr>
              <w:t xml:space="preserve"> </w:t>
            </w:r>
            <w:r w:rsidRPr="005F303E">
              <w:rPr>
                <w:rFonts w:cs="Arial"/>
                <w:sz w:val="20"/>
              </w:rPr>
              <w:t>adhering</w:t>
            </w:r>
            <w:r w:rsidR="0076387A" w:rsidRPr="005F303E">
              <w:rPr>
                <w:rFonts w:cs="Arial"/>
                <w:sz w:val="20"/>
              </w:rPr>
              <w:t xml:space="preserve"> to Department policies, rules and procedures; </w:t>
            </w:r>
            <w:r w:rsidRPr="005F303E">
              <w:rPr>
                <w:rFonts w:cs="Arial"/>
                <w:sz w:val="20"/>
              </w:rPr>
              <w:t>submitting</w:t>
            </w:r>
            <w:r w:rsidR="0076387A" w:rsidRPr="005F303E">
              <w:rPr>
                <w:rFonts w:cs="Arial"/>
                <w:sz w:val="20"/>
              </w:rPr>
              <w:t xml:space="preserve"> administrative requests including leave, travel, and </w:t>
            </w:r>
            <w:r w:rsidR="0076387A" w:rsidRPr="00FA4327">
              <w:rPr>
                <w:rFonts w:cs="Arial"/>
                <w:sz w:val="20"/>
              </w:rPr>
              <w:t xml:space="preserve">training in a timely and appropriate manner; accurately report </w:t>
            </w:r>
            <w:r w:rsidR="00AB77C9" w:rsidRPr="00FA4327">
              <w:rPr>
                <w:rFonts w:cs="Arial"/>
                <w:sz w:val="20"/>
              </w:rPr>
              <w:t>time</w:t>
            </w:r>
            <w:r w:rsidR="00AB77C9">
              <w:rPr>
                <w:rFonts w:cs="Arial"/>
                <w:sz w:val="20"/>
              </w:rPr>
              <w:t xml:space="preserve"> and</w:t>
            </w:r>
            <w:r w:rsidR="0076387A" w:rsidRPr="00FA4327">
              <w:rPr>
                <w:rFonts w:cs="Arial"/>
                <w:sz w:val="20"/>
              </w:rPr>
              <w:t xml:space="preserve"> submit timesheets by the due date.</w:t>
            </w:r>
          </w:p>
          <w:p w14:paraId="520F5D4F" w14:textId="0B994233" w:rsidR="00AA56B2" w:rsidRPr="00DA1762" w:rsidRDefault="00AA56B2" w:rsidP="00AA56B2">
            <w:pPr>
              <w:rPr>
                <w:rFonts w:cstheme="minorHAnsi"/>
                <w:sz w:val="20"/>
                <w:szCs w:val="20"/>
              </w:rPr>
            </w:pPr>
          </w:p>
        </w:tc>
      </w:tr>
      <w:tr w:rsidR="00EA122F" w:rsidRPr="002E1CA3" w14:paraId="66ECBC9E"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5483FF7A" w14:textId="601E762A" w:rsidR="00EA122F" w:rsidRPr="002E1CA3" w:rsidRDefault="00EA122F" w:rsidP="00002607">
            <w:pPr>
              <w:jc w:val="both"/>
              <w:rPr>
                <w:b/>
                <w:sz w:val="20"/>
                <w:szCs w:val="20"/>
              </w:rPr>
            </w:pPr>
            <w:r>
              <w:rPr>
                <w:b/>
                <w:sz w:val="20"/>
                <w:szCs w:val="20"/>
              </w:rPr>
              <w:t>SPECIAL PERSONAL CHARACTERISTICS</w:t>
            </w:r>
          </w:p>
        </w:tc>
      </w:tr>
      <w:tr w:rsidR="00EA122F" w:rsidRPr="002E1CA3" w14:paraId="3E867788" w14:textId="77777777" w:rsidTr="00F26AB8">
        <w:trPr>
          <w:jc w:val="center"/>
        </w:trPr>
        <w:tc>
          <w:tcPr>
            <w:tcW w:w="10808" w:type="dxa"/>
            <w:gridSpan w:val="10"/>
            <w:tcBorders>
              <w:top w:val="single" w:sz="4" w:space="0" w:color="auto"/>
              <w:bottom w:val="single" w:sz="4" w:space="0" w:color="auto"/>
            </w:tcBorders>
            <w:shd w:val="clear" w:color="auto" w:fill="FFFFFF" w:themeFill="background1"/>
          </w:tcPr>
          <w:p w14:paraId="77094DB3" w14:textId="6B673B21" w:rsidR="00EA122F" w:rsidRDefault="00AF2183" w:rsidP="00826D57">
            <w:pPr>
              <w:numPr>
                <w:ilvl w:val="0"/>
                <w:numId w:val="1"/>
              </w:numPr>
              <w:tabs>
                <w:tab w:val="left" w:pos="342"/>
                <w:tab w:val="right" w:pos="10620"/>
              </w:tabs>
              <w:jc w:val="both"/>
              <w:rPr>
                <w:rFonts w:cs="Arial"/>
                <w:bCs/>
                <w:sz w:val="20"/>
                <w:szCs w:val="20"/>
              </w:rPr>
            </w:pPr>
            <w:r>
              <w:rPr>
                <w:rFonts w:cs="Arial"/>
                <w:bCs/>
                <w:sz w:val="20"/>
                <w:szCs w:val="20"/>
              </w:rPr>
              <w:t>I</w:t>
            </w:r>
            <w:r w:rsidR="00CF481F" w:rsidRPr="00CF481F">
              <w:rPr>
                <w:rFonts w:cs="Arial"/>
                <w:bCs/>
                <w:sz w:val="20"/>
                <w:szCs w:val="20"/>
              </w:rPr>
              <w:t>nfluence</w:t>
            </w:r>
            <w:r>
              <w:rPr>
                <w:rFonts w:cs="Arial"/>
                <w:bCs/>
                <w:sz w:val="20"/>
                <w:szCs w:val="20"/>
              </w:rPr>
              <w:t>,</w:t>
            </w:r>
            <w:r w:rsidR="00CF481F" w:rsidRPr="00CF481F">
              <w:rPr>
                <w:rFonts w:cs="Arial"/>
                <w:bCs/>
                <w:sz w:val="20"/>
                <w:szCs w:val="20"/>
              </w:rPr>
              <w:t xml:space="preserve"> change, and strengthen the community.  Set an example each day through positive and pro-social role modeling, utilizing dynamic security concepts through observation and building rapport.</w:t>
            </w:r>
          </w:p>
          <w:p w14:paraId="3F39CCE0" w14:textId="6B349F18" w:rsidR="00826D57" w:rsidRPr="0064274D" w:rsidRDefault="00826D57" w:rsidP="008302FE">
            <w:pPr>
              <w:pStyle w:val="ListParagraph"/>
              <w:numPr>
                <w:ilvl w:val="0"/>
                <w:numId w:val="1"/>
              </w:numPr>
              <w:tabs>
                <w:tab w:val="left" w:pos="342"/>
                <w:tab w:val="right" w:pos="10620"/>
              </w:tabs>
              <w:jc w:val="both"/>
              <w:rPr>
                <w:sz w:val="20"/>
                <w:szCs w:val="20"/>
              </w:rPr>
            </w:pPr>
            <w:r w:rsidRPr="00585232">
              <w:rPr>
                <w:sz w:val="20"/>
                <w:szCs w:val="20"/>
              </w:rPr>
              <w:t>Willingness to play a significant role in the collaborative efforts toward rehabilitation and public safety enhancement.</w:t>
            </w:r>
          </w:p>
          <w:p w14:paraId="27757F20" w14:textId="390646B4" w:rsidR="00826D57" w:rsidRPr="00585232" w:rsidRDefault="005B7A2F" w:rsidP="00585232">
            <w:pPr>
              <w:pStyle w:val="ListParagraph"/>
              <w:numPr>
                <w:ilvl w:val="0"/>
                <w:numId w:val="1"/>
              </w:numPr>
              <w:tabs>
                <w:tab w:val="left" w:pos="342"/>
                <w:tab w:val="right" w:pos="10620"/>
              </w:tabs>
              <w:jc w:val="both"/>
              <w:rPr>
                <w:sz w:val="20"/>
                <w:szCs w:val="20"/>
              </w:rPr>
            </w:pPr>
            <w:r>
              <w:rPr>
                <w:sz w:val="20"/>
                <w:szCs w:val="20"/>
              </w:rPr>
              <w:t>Ability to f</w:t>
            </w:r>
            <w:r w:rsidR="00826D57" w:rsidRPr="00585232">
              <w:rPr>
                <w:sz w:val="20"/>
                <w:szCs w:val="20"/>
              </w:rPr>
              <w:t>acilitate conversations as a coach and mentor, engaging in a respectful and understanding manner.</w:t>
            </w:r>
          </w:p>
          <w:p w14:paraId="230CD650" w14:textId="69CB7A2F" w:rsidR="00CF481F" w:rsidRPr="0064274D" w:rsidRDefault="005B7A2F" w:rsidP="0036073D">
            <w:pPr>
              <w:pStyle w:val="ListParagraph"/>
              <w:numPr>
                <w:ilvl w:val="0"/>
                <w:numId w:val="1"/>
              </w:numPr>
              <w:tabs>
                <w:tab w:val="left" w:pos="342"/>
                <w:tab w:val="right" w:pos="10620"/>
              </w:tabs>
              <w:jc w:val="both"/>
              <w:rPr>
                <w:sz w:val="20"/>
                <w:szCs w:val="20"/>
              </w:rPr>
            </w:pPr>
            <w:r>
              <w:rPr>
                <w:sz w:val="20"/>
                <w:szCs w:val="20"/>
              </w:rPr>
              <w:t>Ability to b</w:t>
            </w:r>
            <w:r w:rsidR="00826D57" w:rsidRPr="00585232">
              <w:rPr>
                <w:sz w:val="20"/>
                <w:szCs w:val="20"/>
              </w:rPr>
              <w:t xml:space="preserve">uild trust, </w:t>
            </w:r>
            <w:r w:rsidR="00654D42">
              <w:rPr>
                <w:sz w:val="20"/>
                <w:szCs w:val="20"/>
              </w:rPr>
              <w:t>improve</w:t>
            </w:r>
            <w:r w:rsidR="00826D57" w:rsidRPr="00585232">
              <w:rPr>
                <w:sz w:val="20"/>
                <w:szCs w:val="20"/>
              </w:rPr>
              <w:t xml:space="preserve"> communication, and assist </w:t>
            </w:r>
            <w:r w:rsidR="00654D42">
              <w:rPr>
                <w:sz w:val="20"/>
                <w:szCs w:val="20"/>
              </w:rPr>
              <w:t xml:space="preserve">with </w:t>
            </w:r>
            <w:r w:rsidR="00826D57" w:rsidRPr="00585232">
              <w:rPr>
                <w:sz w:val="20"/>
                <w:szCs w:val="20"/>
              </w:rPr>
              <w:t>the transformation of correctional culture.</w:t>
            </w:r>
          </w:p>
        </w:tc>
      </w:tr>
      <w:tr w:rsidR="002E1CA3" w:rsidRPr="002E1CA3" w14:paraId="0B4A178A"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3B1E0F9F" w14:textId="77777777" w:rsidR="00CD0D6A" w:rsidRPr="002E1CA3" w:rsidRDefault="00BD13EC" w:rsidP="007E7AE7">
            <w:pPr>
              <w:jc w:val="both"/>
              <w:rPr>
                <w:b/>
                <w:sz w:val="20"/>
                <w:szCs w:val="20"/>
              </w:rPr>
            </w:pPr>
            <w:r>
              <w:rPr>
                <w:b/>
                <w:sz w:val="20"/>
                <w:szCs w:val="20"/>
              </w:rPr>
              <w:t>SPECIAL</w:t>
            </w:r>
            <w:r w:rsidR="00CD0D6A" w:rsidRPr="002E1CA3">
              <w:rPr>
                <w:b/>
                <w:sz w:val="20"/>
                <w:szCs w:val="20"/>
              </w:rPr>
              <w:t xml:space="preserve"> REQUIREMENTS</w:t>
            </w:r>
          </w:p>
        </w:tc>
      </w:tr>
      <w:tr w:rsidR="002E1CA3" w:rsidRPr="002E1CA3" w14:paraId="262A4351" w14:textId="77777777" w:rsidTr="00AA56B2">
        <w:trPr>
          <w:trHeight w:val="202"/>
          <w:jc w:val="center"/>
        </w:trPr>
        <w:tc>
          <w:tcPr>
            <w:tcW w:w="10808" w:type="dxa"/>
            <w:gridSpan w:val="10"/>
            <w:tcBorders>
              <w:top w:val="single" w:sz="4" w:space="0" w:color="auto"/>
              <w:bottom w:val="single" w:sz="4" w:space="0" w:color="auto"/>
            </w:tcBorders>
          </w:tcPr>
          <w:p w14:paraId="3475CC45" w14:textId="723C8FAF" w:rsidR="007B2B75" w:rsidRPr="00BD13EC" w:rsidRDefault="00474A5B" w:rsidP="007E7AE7">
            <w:pPr>
              <w:numPr>
                <w:ilvl w:val="0"/>
                <w:numId w:val="1"/>
              </w:numPr>
              <w:tabs>
                <w:tab w:val="left" w:pos="342"/>
                <w:tab w:val="right" w:pos="10620"/>
              </w:tabs>
              <w:jc w:val="both"/>
              <w:rPr>
                <w:rFonts w:cs="Arial"/>
                <w:b/>
                <w:sz w:val="20"/>
                <w:szCs w:val="20"/>
              </w:rPr>
            </w:pPr>
            <w:r w:rsidRPr="00BC70FC">
              <w:rPr>
                <w:sz w:val="20"/>
                <w:szCs w:val="20"/>
              </w:rPr>
              <w:t xml:space="preserve">CDCR does not recognize hostages for bargaining purposes. CDCR has a "NO HOSTAGE" </w:t>
            </w:r>
            <w:r w:rsidR="0091161C" w:rsidRPr="00BC70FC">
              <w:rPr>
                <w:sz w:val="20"/>
                <w:szCs w:val="20"/>
              </w:rPr>
              <w:t>policy,</w:t>
            </w:r>
            <w:r w:rsidRPr="00BC70FC">
              <w:rPr>
                <w:sz w:val="20"/>
                <w:szCs w:val="20"/>
              </w:rPr>
              <w:t xml:space="preserve"> and all </w:t>
            </w:r>
            <w:r w:rsidR="00E50F94">
              <w:rPr>
                <w:sz w:val="20"/>
                <w:szCs w:val="20"/>
              </w:rPr>
              <w:t>incarcerated people</w:t>
            </w:r>
            <w:r w:rsidRPr="00BC70FC">
              <w:rPr>
                <w:sz w:val="20"/>
                <w:szCs w:val="20"/>
              </w:rPr>
              <w:t xml:space="preserve">, visitors, </w:t>
            </w:r>
            <w:proofErr w:type="gramStart"/>
            <w:r w:rsidRPr="00BC70FC">
              <w:rPr>
                <w:sz w:val="20"/>
                <w:szCs w:val="20"/>
              </w:rPr>
              <w:t>nonemployees</w:t>
            </w:r>
            <w:proofErr w:type="gramEnd"/>
            <w:r w:rsidR="004B6B12">
              <w:rPr>
                <w:sz w:val="20"/>
                <w:szCs w:val="20"/>
              </w:rPr>
              <w:t>,</w:t>
            </w:r>
            <w:r w:rsidRPr="00BC70FC">
              <w:rPr>
                <w:sz w:val="20"/>
                <w:szCs w:val="20"/>
              </w:rPr>
              <w:t xml:space="preserve"> and employees </w:t>
            </w:r>
            <w:proofErr w:type="gramStart"/>
            <w:r w:rsidRPr="00BC70FC">
              <w:rPr>
                <w:sz w:val="20"/>
                <w:szCs w:val="20"/>
              </w:rPr>
              <w:t>shall</w:t>
            </w:r>
            <w:proofErr w:type="gramEnd"/>
            <w:r w:rsidRPr="00BC70FC">
              <w:rPr>
                <w:sz w:val="20"/>
                <w:szCs w:val="20"/>
              </w:rPr>
              <w:t xml:space="preserve"> be made aware of this.</w:t>
            </w:r>
          </w:p>
        </w:tc>
      </w:tr>
      <w:tr w:rsidR="00632FF7" w:rsidRPr="002E1CA3" w14:paraId="7EB1F123"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78661148" w14:textId="6B3875C9" w:rsidR="00632FF7" w:rsidRPr="00632FF7" w:rsidRDefault="00632FF7" w:rsidP="007E7AE7">
            <w:pPr>
              <w:tabs>
                <w:tab w:val="left" w:pos="342"/>
                <w:tab w:val="right" w:pos="10620"/>
              </w:tabs>
              <w:jc w:val="both"/>
              <w:rPr>
                <w:b/>
                <w:bCs/>
                <w:sz w:val="20"/>
                <w:szCs w:val="20"/>
              </w:rPr>
            </w:pPr>
            <w:bookmarkStart w:id="1" w:name="_Hlk163127418"/>
            <w:r w:rsidRPr="00632FF7">
              <w:rPr>
                <w:b/>
                <w:bCs/>
                <w:sz w:val="20"/>
                <w:szCs w:val="20"/>
              </w:rPr>
              <w:t>CONSEQUENCE OF ERROR</w:t>
            </w:r>
          </w:p>
        </w:tc>
      </w:tr>
      <w:tr w:rsidR="00632FF7" w:rsidRPr="002E1CA3" w14:paraId="4BFE5B42" w14:textId="77777777" w:rsidTr="00F26AB8">
        <w:trPr>
          <w:jc w:val="center"/>
        </w:trPr>
        <w:tc>
          <w:tcPr>
            <w:tcW w:w="10808" w:type="dxa"/>
            <w:gridSpan w:val="10"/>
            <w:tcBorders>
              <w:top w:val="single" w:sz="4" w:space="0" w:color="auto"/>
              <w:bottom w:val="single" w:sz="4" w:space="0" w:color="auto"/>
            </w:tcBorders>
          </w:tcPr>
          <w:p w14:paraId="0B7CC0D5" w14:textId="10CDAC79" w:rsidR="00632FF7" w:rsidRPr="00E26D86" w:rsidRDefault="0091161C" w:rsidP="00AA56B2">
            <w:pPr>
              <w:pStyle w:val="ListParagraph"/>
              <w:numPr>
                <w:ilvl w:val="0"/>
                <w:numId w:val="1"/>
              </w:numPr>
              <w:tabs>
                <w:tab w:val="left" w:pos="342"/>
                <w:tab w:val="right" w:pos="10620"/>
              </w:tabs>
              <w:rPr>
                <w:sz w:val="20"/>
                <w:szCs w:val="20"/>
              </w:rPr>
            </w:pPr>
            <w:r w:rsidRPr="004D7D9E">
              <w:rPr>
                <w:sz w:val="20"/>
                <w:szCs w:val="20"/>
              </w:rPr>
              <w:lastRenderedPageBreak/>
              <w:t xml:space="preserve">Example: Consequences of error may result in loss of time and could cause significant delays in program production. Such delays can result in inefficient use or misdirection of </w:t>
            </w:r>
            <w:r>
              <w:rPr>
                <w:sz w:val="20"/>
                <w:szCs w:val="20"/>
              </w:rPr>
              <w:t>department</w:t>
            </w:r>
            <w:r w:rsidRPr="004D7D9E">
              <w:rPr>
                <w:sz w:val="20"/>
                <w:szCs w:val="20"/>
              </w:rPr>
              <w:t xml:space="preserve"> resources resulting in the inability to meet efficiency and timeline goals, and</w:t>
            </w:r>
            <w:r>
              <w:rPr>
                <w:sz w:val="20"/>
                <w:szCs w:val="20"/>
              </w:rPr>
              <w:t xml:space="preserve"> </w:t>
            </w:r>
            <w:r w:rsidRPr="004D7D9E">
              <w:rPr>
                <w:sz w:val="20"/>
                <w:szCs w:val="20"/>
              </w:rPr>
              <w:t xml:space="preserve">varying degrees of negative financial impacts </w:t>
            </w:r>
            <w:r>
              <w:rPr>
                <w:sz w:val="20"/>
                <w:szCs w:val="20"/>
              </w:rPr>
              <w:t>to the</w:t>
            </w:r>
            <w:r w:rsidRPr="004D7D9E">
              <w:rPr>
                <w:sz w:val="20"/>
                <w:szCs w:val="20"/>
              </w:rPr>
              <w:t xml:space="preserve"> department.</w:t>
            </w:r>
          </w:p>
        </w:tc>
      </w:tr>
      <w:bookmarkEnd w:id="1"/>
      <w:tr w:rsidR="002E1CA3" w:rsidRPr="002E1CA3" w14:paraId="4E62C0DF" w14:textId="77777777" w:rsidTr="00F26AB8">
        <w:trPr>
          <w:jc w:val="center"/>
        </w:trPr>
        <w:tc>
          <w:tcPr>
            <w:tcW w:w="10808" w:type="dxa"/>
            <w:gridSpan w:val="10"/>
            <w:tcBorders>
              <w:bottom w:val="single" w:sz="4" w:space="0" w:color="auto"/>
            </w:tcBorders>
            <w:shd w:val="clear" w:color="auto" w:fill="D9D9D9" w:themeFill="background1" w:themeFillShade="D9"/>
          </w:tcPr>
          <w:p w14:paraId="3E654282" w14:textId="77777777" w:rsidR="00CD0D6A" w:rsidRPr="002E1CA3" w:rsidRDefault="005943C7" w:rsidP="007E7AE7">
            <w:pPr>
              <w:jc w:val="both"/>
              <w:rPr>
                <w:b/>
                <w:sz w:val="24"/>
                <w:szCs w:val="24"/>
              </w:rPr>
            </w:pPr>
            <w:r w:rsidRPr="002E1CA3">
              <w:rPr>
                <w:b/>
                <w:sz w:val="24"/>
                <w:szCs w:val="24"/>
              </w:rPr>
              <w:t>To be reviewed and signed by the supervisor and employee:</w:t>
            </w:r>
          </w:p>
          <w:p w14:paraId="4DB54506" w14:textId="77777777" w:rsidR="005943C7" w:rsidRPr="002E1CA3" w:rsidRDefault="005943C7" w:rsidP="007E7AE7">
            <w:pPr>
              <w:jc w:val="both"/>
              <w:rPr>
                <w:b/>
                <w:sz w:val="16"/>
                <w:szCs w:val="16"/>
              </w:rPr>
            </w:pPr>
            <w:r w:rsidRPr="002E1CA3">
              <w:rPr>
                <w:b/>
                <w:sz w:val="16"/>
                <w:szCs w:val="16"/>
              </w:rPr>
              <w:t>EMPLOYEE’S STATEMENT:</w:t>
            </w:r>
          </w:p>
          <w:p w14:paraId="3E25E22D" w14:textId="77777777" w:rsidR="005943C7" w:rsidRPr="002E1CA3" w:rsidRDefault="005943C7" w:rsidP="007E7AE7">
            <w:pPr>
              <w:pStyle w:val="ListParagraph"/>
              <w:numPr>
                <w:ilvl w:val="0"/>
                <w:numId w:val="2"/>
              </w:numPr>
              <w:jc w:val="both"/>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F26AB8">
        <w:trPr>
          <w:jc w:val="center"/>
        </w:trPr>
        <w:tc>
          <w:tcPr>
            <w:tcW w:w="4497" w:type="dxa"/>
            <w:gridSpan w:val="2"/>
            <w:tcBorders>
              <w:bottom w:val="nil"/>
            </w:tcBorders>
          </w:tcPr>
          <w:p w14:paraId="3D8E13C3"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AA56B2">
        <w:trPr>
          <w:trHeight w:val="24"/>
          <w:jc w:val="center"/>
        </w:trPr>
        <w:tc>
          <w:tcPr>
            <w:tcW w:w="4497" w:type="dxa"/>
            <w:gridSpan w:val="2"/>
            <w:tcBorders>
              <w:top w:val="nil"/>
              <w:bottom w:val="single" w:sz="4" w:space="0" w:color="auto"/>
            </w:tcBorders>
            <w:vAlign w:val="center"/>
          </w:tcPr>
          <w:p w14:paraId="2481651B"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D060045" w14:textId="77777777" w:rsidR="005943C7" w:rsidRPr="002E1CA3" w:rsidRDefault="005943C7" w:rsidP="007E7AE7">
            <w:pPr>
              <w:jc w:val="both"/>
              <w:rPr>
                <w:b/>
                <w:sz w:val="24"/>
                <w:szCs w:val="24"/>
              </w:rPr>
            </w:pPr>
          </w:p>
        </w:tc>
      </w:tr>
      <w:tr w:rsidR="002E1CA3" w:rsidRPr="002E1CA3" w14:paraId="7E321AF0" w14:textId="77777777" w:rsidTr="00F26AB8">
        <w:trPr>
          <w:jc w:val="center"/>
        </w:trPr>
        <w:tc>
          <w:tcPr>
            <w:tcW w:w="10808" w:type="dxa"/>
            <w:gridSpan w:val="10"/>
            <w:shd w:val="clear" w:color="auto" w:fill="D9D9D9" w:themeFill="background1" w:themeFillShade="D9"/>
          </w:tcPr>
          <w:p w14:paraId="7E74635D" w14:textId="77777777" w:rsidR="005943C7" w:rsidRPr="002E1CA3" w:rsidRDefault="005943C7" w:rsidP="007E7AE7">
            <w:pPr>
              <w:jc w:val="both"/>
              <w:rPr>
                <w:b/>
                <w:sz w:val="16"/>
                <w:szCs w:val="16"/>
              </w:rPr>
            </w:pPr>
            <w:r w:rsidRPr="002E1CA3">
              <w:rPr>
                <w:b/>
                <w:sz w:val="16"/>
                <w:szCs w:val="16"/>
              </w:rPr>
              <w:t>SUPERVISOR’S STATEMENT:</w:t>
            </w:r>
          </w:p>
          <w:p w14:paraId="5214F599" w14:textId="6EEBBCC9" w:rsidR="00035671" w:rsidRPr="00035671" w:rsidRDefault="005943C7" w:rsidP="007E7AE7">
            <w:pPr>
              <w:pStyle w:val="ListParagraph"/>
              <w:numPr>
                <w:ilvl w:val="0"/>
                <w:numId w:val="2"/>
              </w:numPr>
              <w:jc w:val="both"/>
              <w:rPr>
                <w:sz w:val="24"/>
                <w:szCs w:val="24"/>
              </w:rPr>
            </w:pPr>
            <w:r w:rsidRPr="00035671">
              <w:rPr>
                <w:i/>
                <w:sz w:val="16"/>
                <w:szCs w:val="16"/>
              </w:rPr>
              <w:t>I CERTIFY THIS DUTY STATEMENT REFLECTS CURRENT AND AN ACCURATE DESCRIPTION OF THE ESSENTIAL FUNCTIONS OF THIS POSITION</w:t>
            </w:r>
            <w:r w:rsidR="004822DF">
              <w:rPr>
                <w:i/>
                <w:sz w:val="16"/>
                <w:szCs w:val="16"/>
              </w:rPr>
              <w:t>.</w:t>
            </w:r>
          </w:p>
          <w:p w14:paraId="091ED084" w14:textId="77777777" w:rsidR="005943C7" w:rsidRPr="002E1CA3" w:rsidRDefault="005943C7" w:rsidP="007E7AE7">
            <w:pPr>
              <w:pStyle w:val="ListParagraph"/>
              <w:numPr>
                <w:ilvl w:val="0"/>
                <w:numId w:val="2"/>
              </w:numPr>
              <w:jc w:val="both"/>
              <w:rPr>
                <w:sz w:val="24"/>
                <w:szCs w:val="24"/>
              </w:rPr>
            </w:pPr>
            <w:r w:rsidRPr="00035671">
              <w:rPr>
                <w:i/>
                <w:sz w:val="16"/>
                <w:szCs w:val="16"/>
              </w:rPr>
              <w:t xml:space="preserve">I HAVE DISCUSSED THE DUTIES AND RESPONSIBILITIES OF THE POSITION WITH THE EMPLOYEE AND PROVIDED THE </w:t>
            </w:r>
            <w:proofErr w:type="gramStart"/>
            <w:r w:rsidRPr="00035671">
              <w:rPr>
                <w:i/>
                <w:sz w:val="16"/>
                <w:szCs w:val="16"/>
              </w:rPr>
              <w:t>EMPLOYEE</w:t>
            </w:r>
            <w:proofErr w:type="gramEnd"/>
            <w:r w:rsidRPr="00035671">
              <w:rPr>
                <w:i/>
                <w:sz w:val="16"/>
                <w:szCs w:val="16"/>
              </w:rPr>
              <w:t xml:space="preserve"> A COPY OF THIS DUTY STATEMENT.</w:t>
            </w:r>
          </w:p>
        </w:tc>
      </w:tr>
      <w:tr w:rsidR="00F77711" w:rsidRPr="00F77711" w14:paraId="08DD74C7" w14:textId="77777777" w:rsidTr="00F26AB8">
        <w:trPr>
          <w:jc w:val="center"/>
        </w:trPr>
        <w:tc>
          <w:tcPr>
            <w:tcW w:w="4497" w:type="dxa"/>
            <w:gridSpan w:val="2"/>
            <w:tcBorders>
              <w:bottom w:val="nil"/>
            </w:tcBorders>
          </w:tcPr>
          <w:p w14:paraId="634051DC"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AA56B2">
        <w:trPr>
          <w:trHeight w:val="104"/>
          <w:jc w:val="center"/>
        </w:trPr>
        <w:tc>
          <w:tcPr>
            <w:tcW w:w="4497" w:type="dxa"/>
            <w:gridSpan w:val="2"/>
            <w:tcBorders>
              <w:top w:val="nil"/>
              <w:bottom w:val="single" w:sz="4" w:space="0" w:color="auto"/>
            </w:tcBorders>
            <w:vAlign w:val="center"/>
          </w:tcPr>
          <w:p w14:paraId="32D5BBAD"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4A5256A" w14:textId="77777777" w:rsidR="005943C7" w:rsidRPr="002E1CA3" w:rsidRDefault="005943C7" w:rsidP="007E7AE7">
            <w:pPr>
              <w:jc w:val="both"/>
              <w:rPr>
                <w:b/>
                <w:sz w:val="24"/>
                <w:szCs w:val="24"/>
              </w:rPr>
            </w:pPr>
          </w:p>
        </w:tc>
      </w:tr>
    </w:tbl>
    <w:p w14:paraId="5B5B3CCB" w14:textId="77777777" w:rsidR="00C3080F" w:rsidRPr="002E1CA3" w:rsidRDefault="00C3080F" w:rsidP="007E7AE7">
      <w:pPr>
        <w:jc w:val="both"/>
      </w:pPr>
    </w:p>
    <w:sectPr w:rsidR="00C3080F" w:rsidRPr="002E1CA3" w:rsidSect="00D641CA">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77ED" w14:textId="77777777" w:rsidR="006076B2" w:rsidRDefault="006076B2" w:rsidP="00284F62">
      <w:pPr>
        <w:spacing w:after="0" w:line="240" w:lineRule="auto"/>
      </w:pPr>
      <w:r>
        <w:separator/>
      </w:r>
    </w:p>
  </w:endnote>
  <w:endnote w:type="continuationSeparator" w:id="0">
    <w:p w14:paraId="2C611BD1" w14:textId="77777777" w:rsidR="006076B2" w:rsidRDefault="006076B2"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90BC" w14:textId="77777777" w:rsidR="006076B2" w:rsidRDefault="006076B2" w:rsidP="00284F62">
      <w:pPr>
        <w:spacing w:after="0" w:line="240" w:lineRule="auto"/>
      </w:pPr>
      <w:r>
        <w:separator/>
      </w:r>
    </w:p>
  </w:footnote>
  <w:footnote w:type="continuationSeparator" w:id="0">
    <w:p w14:paraId="7EB357CF" w14:textId="77777777" w:rsidR="006076B2" w:rsidRDefault="006076B2"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ayout w:type="fixed"/>
      <w:tblLook w:val="01E0" w:firstRow="1" w:lastRow="1" w:firstColumn="1" w:lastColumn="1" w:noHBand="0" w:noVBand="0"/>
    </w:tblPr>
    <w:tblGrid>
      <w:gridCol w:w="9630"/>
      <w:gridCol w:w="1298"/>
    </w:tblGrid>
    <w:tr w:rsidR="00F77711" w:rsidRPr="00F77711" w14:paraId="625D8937" w14:textId="77777777" w:rsidTr="002030A8">
      <w:trPr>
        <w:trHeight w:val="178"/>
        <w:jc w:val="center"/>
      </w:trPr>
      <w:tc>
        <w:tcPr>
          <w:tcW w:w="9630" w:type="dxa"/>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Pr>
        <w:p w14:paraId="6C85C182" w14:textId="68D8410A"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2030A8">
      <w:trPr>
        <w:trHeight w:val="177"/>
        <w:jc w:val="center"/>
      </w:trPr>
      <w:tc>
        <w:tcPr>
          <w:tcW w:w="9630" w:type="dxa"/>
        </w:tcPr>
        <w:p w14:paraId="3965FFE3" w14:textId="671DB67D" w:rsidR="009C58AD" w:rsidRPr="002E1CA3" w:rsidRDefault="00843C63" w:rsidP="009C58AD">
          <w:pPr>
            <w:pStyle w:val="Heading2"/>
            <w:jc w:val="left"/>
            <w:rPr>
              <w:rFonts w:asciiTheme="minorHAnsi" w:hAnsiTheme="minorHAnsi" w:cstheme="minorHAnsi"/>
              <w:b w:val="0"/>
              <w:sz w:val="20"/>
            </w:rPr>
          </w:pPr>
          <w:r>
            <w:t>065-521-4567-004</w:t>
          </w:r>
        </w:p>
      </w:tc>
      <w:tc>
        <w:tcPr>
          <w:tcW w:w="1298" w:type="dxa"/>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1A0A7A"/>
    <w:multiLevelType w:val="hybridMultilevel"/>
    <w:tmpl w:val="1930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61F61"/>
    <w:multiLevelType w:val="hybridMultilevel"/>
    <w:tmpl w:val="ED70A5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3795010">
    <w:abstractNumId w:val="2"/>
  </w:num>
  <w:num w:numId="2" w16cid:durableId="1967271830">
    <w:abstractNumId w:val="0"/>
  </w:num>
  <w:num w:numId="3" w16cid:durableId="1272735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C5C7A9-A0AA-40B4-A49A-F7AD1341C5EF}"/>
    <w:docVar w:name="dgnword-eventsink" w:val="484135120"/>
  </w:docVars>
  <w:rsids>
    <w:rsidRoot w:val="00284F62"/>
    <w:rsid w:val="0000464F"/>
    <w:rsid w:val="00034592"/>
    <w:rsid w:val="00035671"/>
    <w:rsid w:val="00042DF8"/>
    <w:rsid w:val="00045CF6"/>
    <w:rsid w:val="000505ED"/>
    <w:rsid w:val="0006712E"/>
    <w:rsid w:val="000957A6"/>
    <w:rsid w:val="000A0F0B"/>
    <w:rsid w:val="000A7ECD"/>
    <w:rsid w:val="000B1280"/>
    <w:rsid w:val="000C04E3"/>
    <w:rsid w:val="000C1D31"/>
    <w:rsid w:val="000E2954"/>
    <w:rsid w:val="000E3BCE"/>
    <w:rsid w:val="000F3518"/>
    <w:rsid w:val="00103748"/>
    <w:rsid w:val="0011641E"/>
    <w:rsid w:val="00122DE7"/>
    <w:rsid w:val="0013295B"/>
    <w:rsid w:val="001333C9"/>
    <w:rsid w:val="00136EF4"/>
    <w:rsid w:val="001655C2"/>
    <w:rsid w:val="00167A73"/>
    <w:rsid w:val="001800CA"/>
    <w:rsid w:val="001942DB"/>
    <w:rsid w:val="001A39AE"/>
    <w:rsid w:val="001A6BF5"/>
    <w:rsid w:val="001B3D49"/>
    <w:rsid w:val="001C77BF"/>
    <w:rsid w:val="001F0862"/>
    <w:rsid w:val="001F780A"/>
    <w:rsid w:val="002022CC"/>
    <w:rsid w:val="002030A8"/>
    <w:rsid w:val="00205F73"/>
    <w:rsid w:val="002069B2"/>
    <w:rsid w:val="00210E10"/>
    <w:rsid w:val="002261BC"/>
    <w:rsid w:val="00231422"/>
    <w:rsid w:val="002422CB"/>
    <w:rsid w:val="002477F9"/>
    <w:rsid w:val="00250527"/>
    <w:rsid w:val="00255857"/>
    <w:rsid w:val="00272C68"/>
    <w:rsid w:val="00276804"/>
    <w:rsid w:val="002842B4"/>
    <w:rsid w:val="00284F62"/>
    <w:rsid w:val="00284F81"/>
    <w:rsid w:val="002853F1"/>
    <w:rsid w:val="00290E4F"/>
    <w:rsid w:val="002B6365"/>
    <w:rsid w:val="002D18FD"/>
    <w:rsid w:val="002E1CA3"/>
    <w:rsid w:val="0030076B"/>
    <w:rsid w:val="00304948"/>
    <w:rsid w:val="00316401"/>
    <w:rsid w:val="00321AE7"/>
    <w:rsid w:val="003235D6"/>
    <w:rsid w:val="003309EA"/>
    <w:rsid w:val="00357014"/>
    <w:rsid w:val="0036073D"/>
    <w:rsid w:val="00362537"/>
    <w:rsid w:val="00370006"/>
    <w:rsid w:val="00372045"/>
    <w:rsid w:val="003757E8"/>
    <w:rsid w:val="003768B2"/>
    <w:rsid w:val="00384525"/>
    <w:rsid w:val="003A075D"/>
    <w:rsid w:val="003D4110"/>
    <w:rsid w:val="003F0706"/>
    <w:rsid w:val="00401674"/>
    <w:rsid w:val="00410BDB"/>
    <w:rsid w:val="004120A7"/>
    <w:rsid w:val="004145E9"/>
    <w:rsid w:val="00441E8E"/>
    <w:rsid w:val="0044417F"/>
    <w:rsid w:val="004563E3"/>
    <w:rsid w:val="00463F21"/>
    <w:rsid w:val="00474A5B"/>
    <w:rsid w:val="004822DF"/>
    <w:rsid w:val="00492AC2"/>
    <w:rsid w:val="004B6B12"/>
    <w:rsid w:val="004D7D9E"/>
    <w:rsid w:val="004E3450"/>
    <w:rsid w:val="00503BB5"/>
    <w:rsid w:val="00510969"/>
    <w:rsid w:val="005135F0"/>
    <w:rsid w:val="00516A42"/>
    <w:rsid w:val="00527FC6"/>
    <w:rsid w:val="00554579"/>
    <w:rsid w:val="00560A33"/>
    <w:rsid w:val="0056569E"/>
    <w:rsid w:val="00572561"/>
    <w:rsid w:val="00585232"/>
    <w:rsid w:val="005943C7"/>
    <w:rsid w:val="005B27C6"/>
    <w:rsid w:val="005B7A2F"/>
    <w:rsid w:val="005E3F1E"/>
    <w:rsid w:val="005F303E"/>
    <w:rsid w:val="00605C7F"/>
    <w:rsid w:val="006076B2"/>
    <w:rsid w:val="00625847"/>
    <w:rsid w:val="00632FF7"/>
    <w:rsid w:val="0064274D"/>
    <w:rsid w:val="00652ECA"/>
    <w:rsid w:val="00654D42"/>
    <w:rsid w:val="0066790C"/>
    <w:rsid w:val="00683FE9"/>
    <w:rsid w:val="00695A4C"/>
    <w:rsid w:val="006C32DE"/>
    <w:rsid w:val="006D5EBF"/>
    <w:rsid w:val="0070273F"/>
    <w:rsid w:val="00715ADE"/>
    <w:rsid w:val="00715D59"/>
    <w:rsid w:val="00720BCC"/>
    <w:rsid w:val="00722215"/>
    <w:rsid w:val="007276E9"/>
    <w:rsid w:val="007445DA"/>
    <w:rsid w:val="00746617"/>
    <w:rsid w:val="00762CE0"/>
    <w:rsid w:val="0076387A"/>
    <w:rsid w:val="00765662"/>
    <w:rsid w:val="00770E38"/>
    <w:rsid w:val="00782672"/>
    <w:rsid w:val="007B2B75"/>
    <w:rsid w:val="007C3E4E"/>
    <w:rsid w:val="007D02AD"/>
    <w:rsid w:val="007E7AE7"/>
    <w:rsid w:val="00816B4B"/>
    <w:rsid w:val="00826D57"/>
    <w:rsid w:val="008302FE"/>
    <w:rsid w:val="00833217"/>
    <w:rsid w:val="008410BE"/>
    <w:rsid w:val="008439D7"/>
    <w:rsid w:val="00843C63"/>
    <w:rsid w:val="00854CAF"/>
    <w:rsid w:val="00860003"/>
    <w:rsid w:val="00860A1F"/>
    <w:rsid w:val="008623A5"/>
    <w:rsid w:val="00897AF6"/>
    <w:rsid w:val="008A4489"/>
    <w:rsid w:val="008A44C6"/>
    <w:rsid w:val="008B2A68"/>
    <w:rsid w:val="008B4F6E"/>
    <w:rsid w:val="008B6A85"/>
    <w:rsid w:val="008E2893"/>
    <w:rsid w:val="008E2B33"/>
    <w:rsid w:val="00907A88"/>
    <w:rsid w:val="0091161C"/>
    <w:rsid w:val="0091514E"/>
    <w:rsid w:val="009174B4"/>
    <w:rsid w:val="009226B5"/>
    <w:rsid w:val="009323CF"/>
    <w:rsid w:val="00945CE5"/>
    <w:rsid w:val="00954A05"/>
    <w:rsid w:val="009553BD"/>
    <w:rsid w:val="00963E5E"/>
    <w:rsid w:val="0097000B"/>
    <w:rsid w:val="00975B13"/>
    <w:rsid w:val="009779F3"/>
    <w:rsid w:val="009A4362"/>
    <w:rsid w:val="009B1135"/>
    <w:rsid w:val="009C58AD"/>
    <w:rsid w:val="00A03415"/>
    <w:rsid w:val="00A06728"/>
    <w:rsid w:val="00A31304"/>
    <w:rsid w:val="00A32E4F"/>
    <w:rsid w:val="00A8538B"/>
    <w:rsid w:val="00AA247F"/>
    <w:rsid w:val="00AA3312"/>
    <w:rsid w:val="00AA4D0A"/>
    <w:rsid w:val="00AA56B2"/>
    <w:rsid w:val="00AA6C9E"/>
    <w:rsid w:val="00AB09F6"/>
    <w:rsid w:val="00AB77C9"/>
    <w:rsid w:val="00AB7FBB"/>
    <w:rsid w:val="00AD49DC"/>
    <w:rsid w:val="00AD5ED3"/>
    <w:rsid w:val="00AF2183"/>
    <w:rsid w:val="00B04929"/>
    <w:rsid w:val="00B175BD"/>
    <w:rsid w:val="00B31C1D"/>
    <w:rsid w:val="00B41A0A"/>
    <w:rsid w:val="00B43DE0"/>
    <w:rsid w:val="00B61722"/>
    <w:rsid w:val="00B66375"/>
    <w:rsid w:val="00B73F52"/>
    <w:rsid w:val="00BA3667"/>
    <w:rsid w:val="00BC7DFB"/>
    <w:rsid w:val="00BD13AE"/>
    <w:rsid w:val="00BD13EC"/>
    <w:rsid w:val="00BD1CD7"/>
    <w:rsid w:val="00C0070D"/>
    <w:rsid w:val="00C130DB"/>
    <w:rsid w:val="00C3080F"/>
    <w:rsid w:val="00C34C22"/>
    <w:rsid w:val="00C4665C"/>
    <w:rsid w:val="00C57777"/>
    <w:rsid w:val="00C65145"/>
    <w:rsid w:val="00C7407A"/>
    <w:rsid w:val="00C75C8C"/>
    <w:rsid w:val="00C87F61"/>
    <w:rsid w:val="00CC2390"/>
    <w:rsid w:val="00CD0D6A"/>
    <w:rsid w:val="00CE7947"/>
    <w:rsid w:val="00CF481F"/>
    <w:rsid w:val="00CF4886"/>
    <w:rsid w:val="00D01794"/>
    <w:rsid w:val="00D067D2"/>
    <w:rsid w:val="00D12A32"/>
    <w:rsid w:val="00D21183"/>
    <w:rsid w:val="00D6066F"/>
    <w:rsid w:val="00D641CA"/>
    <w:rsid w:val="00D84A20"/>
    <w:rsid w:val="00D9068A"/>
    <w:rsid w:val="00DA1762"/>
    <w:rsid w:val="00DC0B90"/>
    <w:rsid w:val="00DD09EF"/>
    <w:rsid w:val="00DD7E9F"/>
    <w:rsid w:val="00E11D06"/>
    <w:rsid w:val="00E218E8"/>
    <w:rsid w:val="00E26D86"/>
    <w:rsid w:val="00E3201A"/>
    <w:rsid w:val="00E418B8"/>
    <w:rsid w:val="00E50F94"/>
    <w:rsid w:val="00E62297"/>
    <w:rsid w:val="00E62922"/>
    <w:rsid w:val="00E74EA2"/>
    <w:rsid w:val="00E819D6"/>
    <w:rsid w:val="00E93215"/>
    <w:rsid w:val="00EA10C1"/>
    <w:rsid w:val="00EA122F"/>
    <w:rsid w:val="00EA2409"/>
    <w:rsid w:val="00EC5D63"/>
    <w:rsid w:val="00ED2895"/>
    <w:rsid w:val="00EE7815"/>
    <w:rsid w:val="00F20EC9"/>
    <w:rsid w:val="00F26AB8"/>
    <w:rsid w:val="00F276A7"/>
    <w:rsid w:val="00F32283"/>
    <w:rsid w:val="00F667B8"/>
    <w:rsid w:val="00F77711"/>
    <w:rsid w:val="00F800E5"/>
    <w:rsid w:val="00F9116A"/>
    <w:rsid w:val="00F95FE4"/>
    <w:rsid w:val="00FA58E7"/>
    <w:rsid w:val="00FD00D2"/>
    <w:rsid w:val="00FF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nhideWhenUsed/>
    <w:rsid w:val="00F667B8"/>
    <w:rPr>
      <w:sz w:val="16"/>
      <w:szCs w:val="16"/>
    </w:rPr>
  </w:style>
  <w:style w:type="paragraph" w:styleId="CommentText">
    <w:name w:val="annotation text"/>
    <w:basedOn w:val="Normal"/>
    <w:link w:val="CommentTextChar"/>
    <w:unhideWhenUsed/>
    <w:rsid w:val="00F667B8"/>
    <w:pPr>
      <w:spacing w:line="240" w:lineRule="auto"/>
    </w:pPr>
    <w:rPr>
      <w:sz w:val="20"/>
      <w:szCs w:val="20"/>
    </w:rPr>
  </w:style>
  <w:style w:type="character" w:customStyle="1" w:styleId="CommentTextChar">
    <w:name w:val="Comment Text Char"/>
    <w:basedOn w:val="DefaultParagraphFont"/>
    <w:link w:val="CommentText"/>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
    <w:name w:val="Body Text"/>
    <w:basedOn w:val="Normal"/>
    <w:link w:val="BodyTextChar"/>
    <w:uiPriority w:val="1"/>
    <w:qFormat/>
    <w:rsid w:val="00DA1762"/>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DA1762"/>
    <w:rPr>
      <w:rFonts w:ascii="Arial" w:eastAsia="Arial" w:hAnsi="Arial" w:cs="Arial"/>
      <w:sz w:val="23"/>
      <w:szCs w:val="23"/>
    </w:rPr>
  </w:style>
  <w:style w:type="paragraph" w:styleId="Revision">
    <w:name w:val="Revision"/>
    <w:hidden/>
    <w:uiPriority w:val="99"/>
    <w:semiHidden/>
    <w:rsid w:val="00897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1564">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263147346">
      <w:bodyDiv w:val="1"/>
      <w:marLeft w:val="0"/>
      <w:marRight w:val="0"/>
      <w:marTop w:val="0"/>
      <w:marBottom w:val="0"/>
      <w:divBdr>
        <w:top w:val="none" w:sz="0" w:space="0" w:color="auto"/>
        <w:left w:val="none" w:sz="0" w:space="0" w:color="auto"/>
        <w:bottom w:val="none" w:sz="0" w:space="0" w:color="auto"/>
        <w:right w:val="none" w:sz="0" w:space="0" w:color="auto"/>
      </w:divBdr>
    </w:div>
    <w:div w:id="1526749089">
      <w:bodyDiv w:val="1"/>
      <w:marLeft w:val="0"/>
      <w:marRight w:val="0"/>
      <w:marTop w:val="0"/>
      <w:marBottom w:val="0"/>
      <w:divBdr>
        <w:top w:val="none" w:sz="0" w:space="0" w:color="auto"/>
        <w:left w:val="none" w:sz="0" w:space="0" w:color="auto"/>
        <w:bottom w:val="none" w:sz="0" w:space="0" w:color="auto"/>
        <w:right w:val="none" w:sz="0" w:space="0" w:color="auto"/>
      </w:divBdr>
    </w:div>
    <w:div w:id="20284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Type xmlns="16fd79e3-cf6a-4dbf-ade1-fdc6c0620432" xsi:nil="true"/>
    <Category xmlns="16fd79e3-cf6a-4dbf-ade1-fdc6c0620432" xsi:nil="true"/>
    <Unit xmlns="16fd79e3-cf6a-4dbf-ade1-fdc6c0620432" xsi:nil="true"/>
    <Edit_x0020_Record xmlns="16fd79e3-cf6a-4dbf-ade1-fdc6c0620432">
      <Url xsi:nil="true"/>
      <Description xsi:nil="true"/>
    </Edit_x0020_Record>
    <Month xmlns="16fd79e3-cf6a-4dbf-ade1-fdc6c0620432">11 - November</Month>
    <lcf76f155ced4ddcb4097134ff3c332f xmlns="16fd79e3-cf6a-4dbf-ade1-fdc6c0620432">
      <Terms xmlns="http://schemas.microsoft.com/office/infopath/2007/PartnerControls"/>
    </lcf76f155ced4ddcb4097134ff3c332f>
    <Correlation xmlns="16fd79e3-cf6a-4dbf-ade1-fdc6c0620432">
      <Url xsi:nil="true"/>
      <Description xsi:nil="true"/>
    </Correlation>
    <TaxCatchAll xmlns="b4f2e7e3-ddd8-4b89-bab9-b2d95fb87cd0" xsi:nil="true"/>
    <Year xmlns="16fd79e3-cf6a-4dbf-ade1-fdc6c0620432">2024</Yea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1D5DD3EF6B53428C3155591EDD024D" ma:contentTypeVersion="22" ma:contentTypeDescription="Create a new document." ma:contentTypeScope="" ma:versionID="059f89aef031eb03b64b47820f377fa6">
  <xsd:schema xmlns:xsd="http://www.w3.org/2001/XMLSchema" xmlns:xs="http://www.w3.org/2001/XMLSchema" xmlns:p="http://schemas.microsoft.com/office/2006/metadata/properties" xmlns:ns2="16fd79e3-cf6a-4dbf-ade1-fdc6c0620432" xmlns:ns3="b4f2e7e3-ddd8-4b89-bab9-b2d95fb87cd0" targetNamespace="http://schemas.microsoft.com/office/2006/metadata/properties" ma:root="true" ma:fieldsID="1f1978b34435770e254e031806c1dc63" ns2:_="" ns3:_="">
    <xsd:import namespace="16fd79e3-cf6a-4dbf-ade1-fdc6c0620432"/>
    <xsd:import namespace="b4f2e7e3-ddd8-4b89-bab9-b2d95fb87cd0"/>
    <xsd:element name="properties">
      <xsd:complexType>
        <xsd:sequence>
          <xsd:element name="documentManagement">
            <xsd:complexType>
              <xsd:all>
                <xsd:element ref="ns2:Unit" minOccurs="0"/>
                <xsd:element ref="ns2:Month" minOccurs="0"/>
                <xsd:element ref="ns2:Year" minOccurs="0"/>
                <xsd:element ref="ns2:Category" minOccurs="0"/>
                <xsd:element ref="ns2:DocumentType" minOccurs="0"/>
                <xsd:element ref="ns2:MediaServiceMetadata" minOccurs="0"/>
                <xsd:element ref="ns2:MediaServiceFastMetadata" minOccurs="0"/>
                <xsd:element ref="ns2:MediaServiceObjectDetectorVersions" minOccurs="0"/>
                <xsd:element ref="ns2:Edit_x0020_Record" minOccurs="0"/>
                <xsd:element ref="ns2:Correla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79e3-cf6a-4dbf-ade1-fdc6c0620432" elementFormDefault="qualified">
    <xsd:import namespace="http://schemas.microsoft.com/office/2006/documentManagement/types"/>
    <xsd:import namespace="http://schemas.microsoft.com/office/infopath/2007/PartnerControls"/>
    <xsd:element name="Unit" ma:index="9" nillable="true" ma:displayName="Unit" ma:format="Dropdown" ma:internalName="Unit">
      <xsd:simpleType>
        <xsd:restriction base="dms:Choice">
          <xsd:enumeration value="HR (Human Resources)"/>
          <xsd:enumeration value="HR CASU (Compliance &amp; Audit Support Unit)"/>
          <xsd:enumeration value="HR CASU Audit Support &amp; Special Projects"/>
          <xsd:enumeration value="HR CASU Conflict of Interest"/>
          <xsd:enumeration value="HR CASU Legislation &amp; Regulations"/>
          <xsd:enumeration value="HR CASU Statewide Telework"/>
          <xsd:enumeration value="HR EAU (Executive Appointments Unit)"/>
          <xsd:enumeration value="HR EAU Executive Hiring &amp; Recruitment"/>
          <xsd:enumeration value="HR EAU Executive Payroll &amp; Benefits"/>
          <xsd:enumeration value="HR ECS (Employment &amp; Classification Services)"/>
          <xsd:enumeration value="HR ECS Hiring &amp; Pre-Employment (HPE)"/>
          <xsd:enumeration value="HR ECS Strategic Planning &amp; Special Projects"/>
          <xsd:enumeration value="HR ECS Position Control Unit"/>
          <xsd:enumeration value="HR ECS Human Resources Administration Unit"/>
          <xsd:enumeration value="HR ERO (Employee Relations Officer)"/>
          <xsd:enumeration value="HR PBO (Payroll &amp; Benefits)"/>
          <xsd:enumeration value="HR PBO Disability Management"/>
          <xsd:enumeration value="HR PBO Health Benefits"/>
          <xsd:enumeration value="HR PBO Payroll &amp; Transactions"/>
          <xsd:enumeration value="HR PBO Retirement &amp; Separations"/>
          <xsd:enumeration value="HR SSRO (Staffing Solutions &amp; Retention Office)"/>
          <xsd:enumeration value="HR SSU (Statewide Support Unit)"/>
          <xsd:enumeration value="HR SSU Accounts Receivable/Salary Advance Unit"/>
          <xsd:enumeration value="HR SSU Customer Support Unit"/>
          <xsd:enumeration value="HR SSU HR Customer Connect Unit"/>
          <xsd:enumeration value="HR SSU Statewide Transaction Support Unit"/>
          <xsd:enumeration value="HR SSU SPSS (Statewide Personnel Support Services)"/>
          <xsd:enumeration value="HR SSU SPSS BIS Unit"/>
          <xsd:enumeration value="HR SSU SPSS SharePoint &amp; Data Unit"/>
          <xsd:enumeration value="HR TACS (Talent Acquisition &amp; Career Services)"/>
          <xsd:enumeration value="HR TACS Cultural Engagement"/>
          <xsd:enumeration value="HR TACS Examination Services"/>
          <xsd:enumeration value="HR TACS Recruitment &amp; Career Services"/>
          <xsd:enumeration value="HR TACS Specialized Recruitment"/>
          <xsd:enumeration value="HR TACS Succession Management"/>
          <xsd:enumeration value="HR TACS Upward Mobility"/>
          <xsd:enumeration value="HR WD (Workforce Development)"/>
          <xsd:enumeration value="HR WD Policy &amp; Communication"/>
          <xsd:enumeration value="HR WD Training &amp; Change Management (TCM)"/>
        </xsd:restriction>
      </xsd:simpleType>
    </xsd:element>
    <xsd:element name="Month" ma:index="10" nillable="true" ma:displayName="Month" ma:format="Dropdown" ma:internalName="Month">
      <xsd:simpleType>
        <xsd:restriction base="dms:Choice">
          <xsd:enumeration value="01 - January"/>
          <xsd:enumeration value="02 - February"/>
          <xsd:enumeration value="03 - March"/>
          <xsd:enumeration value="04 - April"/>
          <xsd:enumeration value="05 - May"/>
          <xsd:enumeration value="06 - June"/>
          <xsd:enumeration value="07 - July"/>
          <xsd:enumeration value="08 - August"/>
          <xsd:enumeration value="09 - September"/>
          <xsd:enumeration value="10 - October"/>
          <xsd:enumeration value="11 - November"/>
          <xsd:enumeration value="12 - December"/>
        </xsd:restriction>
      </xsd:simpleType>
    </xsd:element>
    <xsd:element name="Year" ma:index="11" nillable="true" ma:displayName="Year" ma:internalName="Year">
      <xsd:simpleType>
        <xsd:restriction base="dms:Number"/>
      </xsd:simpleType>
    </xsd:element>
    <xsd:element name="Category" ma:index="12"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DocumentType" ma:index="13" nillable="true" ma:displayName="Document Type" ma:format="Dropdown" ma:internalName="DocumentType">
      <xsd:simpleType>
        <xsd:restriction base="dms:Choice">
          <xsd:enumeration value="Audio"/>
          <xsd:enumeration value="Document"/>
          <xsd:enumeration value="Email"/>
          <xsd:enumeration value="Image"/>
          <xsd:enumeration value="PDF"/>
          <xsd:enumeration value="Presentation"/>
          <xsd:enumeration value="Spreadsheet"/>
          <xsd:enumeration value="Video"/>
          <xsd:enumeration value="Othe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Edit_x0020_Record" ma:index="17" nillable="true" ma:displayName="Edit Record" ma:format="Hyperlink" ma:internalName="Edit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Correlation" ma:index="18" nillable="true" ma:displayName="Correlation" ma:format="Hyperlink" ma:internalName="Corre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6e71a0-9b22-49f2-9f45-311846d6fae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2e7e3-ddd8-4b89-bab9-b2d95fb87cd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53ca2a1-7f01-4cfe-a108-4b576e30c9d9}" ma:internalName="TaxCatchAll" ma:showField="CatchAllData" ma:web="b4f2e7e3-ddd8-4b89-bab9-b2d95fb8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2.xml><?xml version="1.0" encoding="utf-8"?>
<ds:datastoreItem xmlns:ds="http://schemas.openxmlformats.org/officeDocument/2006/customXml" ds:itemID="{DF2D5BA0-FDA1-4A3B-9844-59F5E61187AF}">
  <ds:schemaRefs>
    <ds:schemaRef ds:uri="http://schemas.openxmlformats.org/officeDocument/2006/bibliography"/>
  </ds:schemaRefs>
</ds:datastoreItem>
</file>

<file path=customXml/itemProps3.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16fd79e3-cf6a-4dbf-ade1-fdc6c0620432"/>
    <ds:schemaRef ds:uri="b4f2e7e3-ddd8-4b89-bab9-b2d95fb87cd0"/>
  </ds:schemaRefs>
</ds:datastoreItem>
</file>

<file path=customXml/itemProps4.xml><?xml version="1.0" encoding="utf-8"?>
<ds:datastoreItem xmlns:ds="http://schemas.openxmlformats.org/officeDocument/2006/customXml" ds:itemID="{2BEB2A11-E50D-41A4-9442-E7F20FB2E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79e3-cf6a-4dbf-ade1-fdc6c0620432"/>
    <ds:schemaRef ds:uri="b4f2e7e3-ddd8-4b89-bab9-b2d95fb8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Duty Statement Template -  General</vt:lpstr>
    </vt:vector>
  </TitlesOfParts>
  <Company>CDCR</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 -  General</dc:title>
  <dc:subject/>
  <dc:creator>Human Resources</dc:creator>
  <cp:keywords/>
  <dc:description/>
  <cp:lastModifiedBy>Massello, Rachel@CDCR</cp:lastModifiedBy>
  <cp:revision>3</cp:revision>
  <dcterms:created xsi:type="dcterms:W3CDTF">2026-05-20T15:59:00Z</dcterms:created>
  <dcterms:modified xsi:type="dcterms:W3CDTF">2026-05-20T16:00:00Z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0x0101009D1D5DD3EF6B53428C3155591EDD024D</vt:lpwstr>
  </property>
</Properties>
</file>